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15A" w:rsidRPr="00315956" w:rsidRDefault="0098615A" w:rsidP="00494432">
      <w:pPr>
        <w:pStyle w:val="BodyText"/>
        <w:jc w:val="center"/>
        <w:rPr>
          <w:b/>
          <w:color w:val="5F497A"/>
          <w:sz w:val="19"/>
          <w:szCs w:val="19"/>
        </w:rPr>
      </w:pPr>
      <w:r w:rsidRPr="00315956">
        <w:rPr>
          <w:b/>
          <w:noProof/>
          <w:color w:val="5F497A"/>
          <w:sz w:val="19"/>
          <w:szCs w:val="19"/>
          <w:lang w:eastAsia="en-GB"/>
        </w:rPr>
        <w:drawing>
          <wp:anchor distT="0" distB="0" distL="114300" distR="114300" simplePos="0" relativeHeight="251659264" behindDoc="0" locked="0" layoutInCell="1" allowOverlap="1" wp14:anchorId="4A3B0BB6" wp14:editId="563D2B65">
            <wp:simplePos x="0" y="0"/>
            <wp:positionH relativeFrom="margin">
              <wp:posOffset>-428625</wp:posOffset>
            </wp:positionH>
            <wp:positionV relativeFrom="margin">
              <wp:posOffset>-333375</wp:posOffset>
            </wp:positionV>
            <wp:extent cx="6619875" cy="942975"/>
            <wp:effectExtent l="19050" t="0" r="9525" b="0"/>
            <wp:wrapSquare wrapText="bothSides"/>
            <wp:docPr id="4" name="Picture 1" descr="Description: BL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LS Hea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19875" cy="942975"/>
                    </a:xfrm>
                    <a:prstGeom prst="rect">
                      <a:avLst/>
                    </a:prstGeom>
                    <a:noFill/>
                    <a:ln>
                      <a:noFill/>
                    </a:ln>
                  </pic:spPr>
                </pic:pic>
              </a:graphicData>
            </a:graphic>
          </wp:anchor>
        </w:drawing>
      </w:r>
    </w:p>
    <w:p w:rsidR="0098615A" w:rsidRPr="00315956" w:rsidRDefault="0098615A" w:rsidP="0098615A">
      <w:pPr>
        <w:pStyle w:val="Heading1"/>
        <w:numPr>
          <w:ilvl w:val="0"/>
          <w:numId w:val="0"/>
        </w:numPr>
        <w:rPr>
          <w:rFonts w:cs="Arial"/>
          <w:b/>
          <w:sz w:val="19"/>
          <w:szCs w:val="19"/>
        </w:rPr>
      </w:pPr>
      <w:r w:rsidRPr="00315956">
        <w:rPr>
          <w:rFonts w:cs="Arial"/>
          <w:b/>
          <w:sz w:val="19"/>
          <w:szCs w:val="19"/>
        </w:rPr>
        <w:t>TUPE changes – a summary</w:t>
      </w:r>
    </w:p>
    <w:p w:rsidR="0098615A" w:rsidRDefault="0098615A" w:rsidP="0098615A">
      <w:pPr>
        <w:pStyle w:val="Heading1"/>
        <w:numPr>
          <w:ilvl w:val="0"/>
          <w:numId w:val="0"/>
        </w:numPr>
        <w:rPr>
          <w:rFonts w:cs="Arial"/>
          <w:sz w:val="19"/>
          <w:szCs w:val="19"/>
        </w:rPr>
      </w:pPr>
      <w:r w:rsidRPr="00315956">
        <w:rPr>
          <w:rFonts w:cs="Arial"/>
          <w:sz w:val="19"/>
          <w:szCs w:val="19"/>
        </w:rPr>
        <w:t xml:space="preserve">Amending Regulations to TUPE came into force on 31 January.  </w:t>
      </w:r>
      <w:r w:rsidR="008B0586">
        <w:rPr>
          <w:rFonts w:cs="Arial"/>
          <w:sz w:val="19"/>
          <w:szCs w:val="19"/>
        </w:rPr>
        <w:t>We have prepared a t</w:t>
      </w:r>
      <w:r w:rsidRPr="00315956">
        <w:rPr>
          <w:rFonts w:cs="Arial"/>
          <w:sz w:val="19"/>
          <w:szCs w:val="19"/>
        </w:rPr>
        <w:t xml:space="preserve">able </w:t>
      </w:r>
      <w:r w:rsidR="008B0586">
        <w:rPr>
          <w:rFonts w:cs="Arial"/>
          <w:sz w:val="19"/>
          <w:szCs w:val="19"/>
        </w:rPr>
        <w:t>to help</w:t>
      </w:r>
      <w:r w:rsidRPr="00315956">
        <w:rPr>
          <w:rFonts w:cs="Arial"/>
          <w:sz w:val="19"/>
          <w:szCs w:val="19"/>
        </w:rPr>
        <w:t xml:space="preserve"> you to understand what has changed, and </w:t>
      </w:r>
      <w:r w:rsidR="008B0586">
        <w:rPr>
          <w:rFonts w:cs="Arial"/>
          <w:sz w:val="19"/>
          <w:szCs w:val="19"/>
        </w:rPr>
        <w:t>indicate that the n</w:t>
      </w:r>
      <w:r w:rsidRPr="00315956">
        <w:rPr>
          <w:rFonts w:cs="Arial"/>
          <w:sz w:val="19"/>
          <w:szCs w:val="19"/>
        </w:rPr>
        <w:t xml:space="preserve">ew provisions </w:t>
      </w:r>
      <w:r w:rsidR="008B0586">
        <w:rPr>
          <w:rFonts w:cs="Arial"/>
          <w:sz w:val="19"/>
          <w:szCs w:val="19"/>
        </w:rPr>
        <w:t xml:space="preserve">will </w:t>
      </w:r>
      <w:r w:rsidRPr="00315956">
        <w:rPr>
          <w:rFonts w:cs="Arial"/>
          <w:sz w:val="19"/>
          <w:szCs w:val="19"/>
        </w:rPr>
        <w:t xml:space="preserve">simplify TUPE.  </w:t>
      </w:r>
    </w:p>
    <w:p w:rsidR="008B0586" w:rsidRPr="00315956" w:rsidRDefault="008B0586" w:rsidP="0098615A">
      <w:pPr>
        <w:pStyle w:val="Heading1"/>
        <w:numPr>
          <w:ilvl w:val="0"/>
          <w:numId w:val="0"/>
        </w:numPr>
        <w:rPr>
          <w:rFonts w:cs="Arial"/>
          <w:sz w:val="19"/>
          <w:szCs w:val="19"/>
        </w:rPr>
      </w:pPr>
      <w:r>
        <w:rPr>
          <w:rFonts w:cs="Arial"/>
          <w:sz w:val="19"/>
          <w:szCs w:val="19"/>
        </w:rPr>
        <w:t>[C</w:t>
      </w:r>
      <w:bookmarkStart w:id="0" w:name="_GoBack"/>
      <w:bookmarkEnd w:id="0"/>
      <w:r>
        <w:rPr>
          <w:rFonts w:cs="Arial"/>
          <w:sz w:val="19"/>
          <w:szCs w:val="19"/>
        </w:rPr>
        <w:t>lick here to view table]</w:t>
      </w:r>
    </w:p>
    <w:tbl>
      <w:tblPr>
        <w:tblStyle w:val="TableGrid"/>
        <w:tblW w:w="0" w:type="auto"/>
        <w:tblLook w:val="04A0" w:firstRow="1" w:lastRow="0" w:firstColumn="1" w:lastColumn="0" w:noHBand="0" w:noVBand="1"/>
      </w:tblPr>
      <w:tblGrid>
        <w:gridCol w:w="2376"/>
        <w:gridCol w:w="3261"/>
        <w:gridCol w:w="3606"/>
      </w:tblGrid>
      <w:tr w:rsidR="0098615A" w:rsidRPr="00315956" w:rsidTr="0098615A">
        <w:tc>
          <w:tcPr>
            <w:tcW w:w="2376" w:type="dxa"/>
            <w:shd w:val="clear" w:color="auto" w:fill="B2A1C7" w:themeFill="accent4" w:themeFillTint="99"/>
          </w:tcPr>
          <w:p w:rsidR="0098615A" w:rsidRPr="00315956" w:rsidRDefault="0098615A" w:rsidP="0020491E">
            <w:pPr>
              <w:pStyle w:val="Heading1"/>
              <w:numPr>
                <w:ilvl w:val="0"/>
                <w:numId w:val="0"/>
              </w:numPr>
              <w:outlineLvl w:val="0"/>
              <w:rPr>
                <w:rFonts w:cs="Arial"/>
                <w:b/>
                <w:sz w:val="19"/>
                <w:szCs w:val="19"/>
              </w:rPr>
            </w:pPr>
            <w:r w:rsidRPr="00315956">
              <w:rPr>
                <w:rFonts w:cs="Arial"/>
                <w:b/>
                <w:sz w:val="19"/>
                <w:szCs w:val="19"/>
              </w:rPr>
              <w:t>Issue</w:t>
            </w:r>
          </w:p>
        </w:tc>
        <w:tc>
          <w:tcPr>
            <w:tcW w:w="3261" w:type="dxa"/>
            <w:shd w:val="clear" w:color="auto" w:fill="B2A1C7" w:themeFill="accent4" w:themeFillTint="99"/>
          </w:tcPr>
          <w:p w:rsidR="0098615A" w:rsidRPr="00315956" w:rsidRDefault="0098615A" w:rsidP="0020491E">
            <w:pPr>
              <w:pStyle w:val="Heading1"/>
              <w:numPr>
                <w:ilvl w:val="0"/>
                <w:numId w:val="0"/>
              </w:numPr>
              <w:outlineLvl w:val="0"/>
              <w:rPr>
                <w:rFonts w:cs="Arial"/>
                <w:b/>
                <w:sz w:val="19"/>
                <w:szCs w:val="19"/>
              </w:rPr>
            </w:pPr>
            <w:r w:rsidRPr="00315956">
              <w:rPr>
                <w:rFonts w:cs="Arial"/>
                <w:b/>
                <w:sz w:val="19"/>
                <w:szCs w:val="19"/>
              </w:rPr>
              <w:t>Position under TUPE 2006</w:t>
            </w:r>
          </w:p>
        </w:tc>
        <w:tc>
          <w:tcPr>
            <w:tcW w:w="3606" w:type="dxa"/>
            <w:shd w:val="clear" w:color="auto" w:fill="B2A1C7" w:themeFill="accent4" w:themeFillTint="99"/>
          </w:tcPr>
          <w:p w:rsidR="0098615A" w:rsidRPr="00315956" w:rsidRDefault="0098615A" w:rsidP="0020491E">
            <w:pPr>
              <w:pStyle w:val="Heading1"/>
              <w:numPr>
                <w:ilvl w:val="0"/>
                <w:numId w:val="0"/>
              </w:numPr>
              <w:outlineLvl w:val="0"/>
              <w:rPr>
                <w:rFonts w:cs="Arial"/>
                <w:b/>
                <w:sz w:val="19"/>
                <w:szCs w:val="19"/>
              </w:rPr>
            </w:pPr>
            <w:r w:rsidRPr="00315956">
              <w:rPr>
                <w:rFonts w:cs="Arial"/>
                <w:b/>
                <w:sz w:val="19"/>
                <w:szCs w:val="19"/>
              </w:rPr>
              <w:t xml:space="preserve">Changes under TUPE 2014 </w:t>
            </w:r>
          </w:p>
        </w:tc>
      </w:tr>
      <w:tr w:rsidR="0098615A" w:rsidRPr="00315956" w:rsidTr="0098615A">
        <w:tc>
          <w:tcPr>
            <w:tcW w:w="2376" w:type="dxa"/>
          </w:tcPr>
          <w:p w:rsidR="0098615A" w:rsidRPr="00315956" w:rsidRDefault="0098615A" w:rsidP="0020491E">
            <w:pPr>
              <w:pStyle w:val="Heading1"/>
              <w:numPr>
                <w:ilvl w:val="0"/>
                <w:numId w:val="0"/>
              </w:numPr>
              <w:outlineLvl w:val="0"/>
              <w:rPr>
                <w:rFonts w:cs="Arial"/>
                <w:sz w:val="19"/>
                <w:szCs w:val="19"/>
              </w:rPr>
            </w:pPr>
            <w:r w:rsidRPr="00315956">
              <w:rPr>
                <w:rFonts w:cs="Arial"/>
                <w:sz w:val="19"/>
                <w:szCs w:val="19"/>
              </w:rPr>
              <w:t>Can a transferee consult with the transferor’s representatives pre-transfer about proposed redundancies taking affect after the date of transfer?</w:t>
            </w:r>
          </w:p>
        </w:tc>
        <w:tc>
          <w:tcPr>
            <w:tcW w:w="3261" w:type="dxa"/>
          </w:tcPr>
          <w:p w:rsidR="0098615A" w:rsidRPr="00315956" w:rsidRDefault="0098615A" w:rsidP="0020491E">
            <w:pPr>
              <w:pStyle w:val="Heading1"/>
              <w:numPr>
                <w:ilvl w:val="0"/>
                <w:numId w:val="0"/>
              </w:numPr>
              <w:outlineLvl w:val="0"/>
              <w:rPr>
                <w:rFonts w:cs="Arial"/>
                <w:sz w:val="19"/>
                <w:szCs w:val="19"/>
              </w:rPr>
            </w:pPr>
            <w:r w:rsidRPr="00315956">
              <w:rPr>
                <w:rFonts w:cs="Arial"/>
                <w:sz w:val="19"/>
                <w:szCs w:val="19"/>
              </w:rPr>
              <w:t xml:space="preserve">Although this happened in practice, the law was unclear </w:t>
            </w:r>
            <w:r w:rsidRPr="00315956">
              <w:rPr>
                <w:rFonts w:eastAsia="Times New Roman" w:cs="Arial"/>
                <w:bCs w:val="0"/>
                <w:sz w:val="19"/>
                <w:szCs w:val="19"/>
              </w:rPr>
              <w:t>on whether this consultation would comply with the requirements of collective redundancy legislation.</w:t>
            </w:r>
          </w:p>
        </w:tc>
        <w:tc>
          <w:tcPr>
            <w:tcW w:w="3606" w:type="dxa"/>
          </w:tcPr>
          <w:p w:rsidR="0098615A" w:rsidRPr="00315956" w:rsidRDefault="0098615A" w:rsidP="0020491E">
            <w:pPr>
              <w:pStyle w:val="Heading1"/>
              <w:numPr>
                <w:ilvl w:val="0"/>
                <w:numId w:val="0"/>
              </w:numPr>
              <w:outlineLvl w:val="0"/>
              <w:rPr>
                <w:rFonts w:eastAsia="Times New Roman" w:cs="Arial"/>
                <w:sz w:val="19"/>
                <w:szCs w:val="19"/>
              </w:rPr>
            </w:pPr>
            <w:r w:rsidRPr="00315956">
              <w:rPr>
                <w:rFonts w:eastAsia="Times New Roman" w:cs="Arial"/>
                <w:sz w:val="19"/>
                <w:szCs w:val="19"/>
              </w:rPr>
              <w:t xml:space="preserve">Pre-transfer consultation can now count towards discharging the transferee’s obligations under collective redundancy legislation. </w:t>
            </w:r>
          </w:p>
          <w:p w:rsidR="0098615A" w:rsidRPr="00315956" w:rsidRDefault="0098615A" w:rsidP="0020491E">
            <w:pPr>
              <w:pStyle w:val="Heading1"/>
              <w:numPr>
                <w:ilvl w:val="0"/>
                <w:numId w:val="0"/>
              </w:numPr>
              <w:outlineLvl w:val="0"/>
              <w:rPr>
                <w:rFonts w:eastAsia="Times New Roman" w:cs="Arial"/>
                <w:sz w:val="19"/>
                <w:szCs w:val="19"/>
              </w:rPr>
            </w:pPr>
            <w:r w:rsidRPr="00315956">
              <w:rPr>
                <w:rFonts w:eastAsia="Times New Roman" w:cs="Arial"/>
                <w:sz w:val="19"/>
                <w:szCs w:val="19"/>
              </w:rPr>
              <w:t xml:space="preserve">Note however: </w:t>
            </w:r>
          </w:p>
          <w:p w:rsidR="0098615A" w:rsidRPr="00315956" w:rsidRDefault="0098615A" w:rsidP="0098615A">
            <w:pPr>
              <w:pStyle w:val="ListBullet"/>
              <w:numPr>
                <w:ilvl w:val="0"/>
                <w:numId w:val="47"/>
              </w:numPr>
              <w:rPr>
                <w:rFonts w:cs="Arial"/>
                <w:sz w:val="19"/>
                <w:szCs w:val="19"/>
              </w:rPr>
            </w:pPr>
            <w:r w:rsidRPr="00315956">
              <w:rPr>
                <w:rFonts w:cs="Arial"/>
                <w:sz w:val="19"/>
                <w:szCs w:val="19"/>
              </w:rPr>
              <w:t xml:space="preserve">That the transferor must consent to this; </w:t>
            </w:r>
          </w:p>
          <w:p w:rsidR="0098615A" w:rsidRPr="00315956" w:rsidRDefault="0098615A" w:rsidP="0098615A">
            <w:pPr>
              <w:pStyle w:val="ListBullet"/>
              <w:numPr>
                <w:ilvl w:val="0"/>
                <w:numId w:val="47"/>
              </w:numPr>
              <w:rPr>
                <w:rFonts w:cs="Arial"/>
                <w:sz w:val="19"/>
                <w:szCs w:val="19"/>
              </w:rPr>
            </w:pPr>
            <w:r w:rsidRPr="00315956">
              <w:rPr>
                <w:rFonts w:cs="Arial"/>
                <w:sz w:val="19"/>
                <w:szCs w:val="19"/>
              </w:rPr>
              <w:t xml:space="preserve">The transferor is not obliged to assist the transferee; and </w:t>
            </w:r>
          </w:p>
          <w:p w:rsidR="0098615A" w:rsidRPr="00315956" w:rsidRDefault="0098615A" w:rsidP="0098615A">
            <w:pPr>
              <w:pStyle w:val="ListBullet"/>
              <w:numPr>
                <w:ilvl w:val="0"/>
                <w:numId w:val="47"/>
              </w:numPr>
              <w:rPr>
                <w:rFonts w:cs="Arial"/>
                <w:sz w:val="19"/>
                <w:szCs w:val="19"/>
              </w:rPr>
            </w:pPr>
            <w:r w:rsidRPr="00315956">
              <w:rPr>
                <w:rFonts w:cs="Arial"/>
                <w:sz w:val="19"/>
                <w:szCs w:val="19"/>
              </w:rPr>
              <w:t>The 30 or 45 day consultation “clock” will only start ticking once consultation actually starts.</w:t>
            </w:r>
          </w:p>
          <w:p w:rsidR="0098615A" w:rsidRPr="00315956" w:rsidRDefault="0098615A" w:rsidP="0020491E">
            <w:pPr>
              <w:pStyle w:val="Heading1"/>
              <w:numPr>
                <w:ilvl w:val="0"/>
                <w:numId w:val="0"/>
              </w:numPr>
              <w:outlineLvl w:val="0"/>
              <w:rPr>
                <w:rFonts w:cs="Arial"/>
                <w:sz w:val="19"/>
                <w:szCs w:val="19"/>
              </w:rPr>
            </w:pPr>
            <w:r w:rsidRPr="00315956">
              <w:rPr>
                <w:rFonts w:cs="Arial"/>
                <w:sz w:val="19"/>
                <w:szCs w:val="19"/>
              </w:rPr>
              <w:t>The transferee cannot dismiss as redundant any transferring employees until after the date of the transfer.</w:t>
            </w:r>
          </w:p>
        </w:tc>
      </w:tr>
      <w:tr w:rsidR="0098615A" w:rsidRPr="00315956" w:rsidTr="0098615A">
        <w:tc>
          <w:tcPr>
            <w:tcW w:w="2376" w:type="dxa"/>
          </w:tcPr>
          <w:p w:rsidR="0098615A" w:rsidRPr="00315956" w:rsidRDefault="0098615A" w:rsidP="0020491E">
            <w:pPr>
              <w:pStyle w:val="Heading1"/>
              <w:numPr>
                <w:ilvl w:val="0"/>
                <w:numId w:val="0"/>
              </w:numPr>
              <w:outlineLvl w:val="0"/>
              <w:rPr>
                <w:rFonts w:cs="Arial"/>
                <w:sz w:val="19"/>
                <w:szCs w:val="19"/>
              </w:rPr>
            </w:pPr>
            <w:r w:rsidRPr="00315956">
              <w:rPr>
                <w:rFonts w:cs="Arial"/>
                <w:sz w:val="19"/>
                <w:szCs w:val="19"/>
              </w:rPr>
              <w:t>What constitutes a service provision change?</w:t>
            </w:r>
          </w:p>
        </w:tc>
        <w:tc>
          <w:tcPr>
            <w:tcW w:w="3261" w:type="dxa"/>
          </w:tcPr>
          <w:p w:rsidR="0098615A" w:rsidRPr="00315956" w:rsidRDefault="0098615A" w:rsidP="0020491E">
            <w:pPr>
              <w:pStyle w:val="BodyText"/>
              <w:rPr>
                <w:rFonts w:cs="Arial"/>
                <w:sz w:val="19"/>
                <w:szCs w:val="19"/>
                <w:lang w:eastAsia="en-GB"/>
              </w:rPr>
            </w:pPr>
            <w:r w:rsidRPr="00315956">
              <w:rPr>
                <w:rFonts w:cs="Arial"/>
                <w:sz w:val="19"/>
                <w:szCs w:val="19"/>
              </w:rPr>
              <w:t xml:space="preserve">The concept of a </w:t>
            </w:r>
            <w:r w:rsidRPr="00315956">
              <w:rPr>
                <w:rFonts w:cs="Arial"/>
                <w:sz w:val="19"/>
                <w:szCs w:val="19"/>
                <w:lang w:eastAsia="en-GB"/>
              </w:rPr>
              <w:t xml:space="preserve">service provision change (“SPC”) arises when there is an outsourcing, a re-tendering or a service is brought in-house. </w:t>
            </w:r>
          </w:p>
          <w:p w:rsidR="0098615A" w:rsidRPr="00315956" w:rsidRDefault="0098615A" w:rsidP="0020491E">
            <w:pPr>
              <w:pStyle w:val="BodyText"/>
              <w:rPr>
                <w:rFonts w:cs="Arial"/>
                <w:sz w:val="19"/>
                <w:szCs w:val="19"/>
              </w:rPr>
            </w:pPr>
            <w:r w:rsidRPr="00315956">
              <w:rPr>
                <w:rFonts w:cs="Arial"/>
                <w:sz w:val="19"/>
                <w:szCs w:val="19"/>
                <w:lang w:eastAsia="en-GB"/>
              </w:rPr>
              <w:t xml:space="preserve">Initially there was thought to be no need for the activities carried out to remain the same after the transfer. However, in the last few years, case law </w:t>
            </w:r>
            <w:r w:rsidRPr="00315956">
              <w:rPr>
                <w:rFonts w:cs="Arial"/>
                <w:sz w:val="19"/>
                <w:szCs w:val="19"/>
              </w:rPr>
              <w:t xml:space="preserve">has established that the service provided by the transferee must be “fundamentally” the same as that provided by the transferor. </w:t>
            </w:r>
          </w:p>
        </w:tc>
        <w:tc>
          <w:tcPr>
            <w:tcW w:w="3606" w:type="dxa"/>
          </w:tcPr>
          <w:p w:rsidR="0098615A" w:rsidRPr="006D486E" w:rsidRDefault="0098615A" w:rsidP="0020491E">
            <w:pPr>
              <w:spacing w:after="240"/>
              <w:jc w:val="left"/>
              <w:outlineLvl w:val="0"/>
              <w:rPr>
                <w:rFonts w:eastAsia="Times New Roman" w:cs="Arial"/>
                <w:kern w:val="36"/>
                <w:sz w:val="19"/>
                <w:szCs w:val="19"/>
                <w:lang w:eastAsia="en-GB"/>
              </w:rPr>
            </w:pPr>
            <w:r w:rsidRPr="006D486E">
              <w:rPr>
                <w:rFonts w:eastAsia="Times New Roman" w:cs="Arial"/>
                <w:kern w:val="36"/>
                <w:sz w:val="19"/>
                <w:szCs w:val="19"/>
                <w:lang w:eastAsia="en-GB"/>
              </w:rPr>
              <w:t xml:space="preserve">The requirement for the service to be “fundamentally” the same is now expressly referred to in the new definition of SPC. </w:t>
            </w:r>
          </w:p>
          <w:p w:rsidR="0098615A" w:rsidRPr="006D486E" w:rsidRDefault="0098615A" w:rsidP="0020491E">
            <w:pPr>
              <w:spacing w:after="240"/>
              <w:jc w:val="left"/>
              <w:outlineLvl w:val="0"/>
              <w:rPr>
                <w:rFonts w:eastAsia="Times New Roman" w:cs="Arial"/>
                <w:kern w:val="36"/>
                <w:sz w:val="19"/>
                <w:szCs w:val="19"/>
                <w:lang w:eastAsia="en-GB"/>
              </w:rPr>
            </w:pPr>
            <w:r w:rsidRPr="006D486E">
              <w:rPr>
                <w:rFonts w:eastAsia="Times New Roman" w:cs="Arial"/>
                <w:kern w:val="36"/>
                <w:sz w:val="19"/>
                <w:szCs w:val="19"/>
                <w:lang w:eastAsia="en-GB"/>
              </w:rPr>
              <w:t xml:space="preserve">This will have little </w:t>
            </w:r>
            <w:r w:rsidRPr="00315956">
              <w:rPr>
                <w:rFonts w:eastAsia="Times New Roman" w:cs="Arial"/>
                <w:kern w:val="36"/>
                <w:sz w:val="19"/>
                <w:szCs w:val="19"/>
                <w:lang w:eastAsia="en-GB"/>
              </w:rPr>
              <w:t xml:space="preserve">impact </w:t>
            </w:r>
            <w:r w:rsidRPr="006D486E">
              <w:rPr>
                <w:rFonts w:eastAsia="Times New Roman" w:cs="Arial"/>
                <w:kern w:val="36"/>
                <w:sz w:val="19"/>
                <w:szCs w:val="19"/>
                <w:lang w:eastAsia="en-GB"/>
              </w:rPr>
              <w:t xml:space="preserve">in practice as it reflects existing case law. Unfortunately, this does not provide any additional clarity </w:t>
            </w:r>
            <w:r w:rsidRPr="00315956">
              <w:rPr>
                <w:rFonts w:eastAsia="Times New Roman" w:cs="Arial"/>
                <w:kern w:val="36"/>
                <w:sz w:val="19"/>
                <w:szCs w:val="19"/>
                <w:lang w:eastAsia="en-GB"/>
              </w:rPr>
              <w:t>as to what will constitute a SPC and i</w:t>
            </w:r>
            <w:r w:rsidRPr="006D486E">
              <w:rPr>
                <w:rFonts w:eastAsia="Times New Roman" w:cs="Arial"/>
                <w:kern w:val="36"/>
                <w:sz w:val="19"/>
                <w:szCs w:val="19"/>
                <w:lang w:eastAsia="en-GB"/>
              </w:rPr>
              <w:t>n the event of a dispute, the Tribunal will determine</w:t>
            </w:r>
            <w:r w:rsidRPr="00315956">
              <w:rPr>
                <w:rFonts w:eastAsia="Times New Roman" w:cs="Arial"/>
                <w:kern w:val="36"/>
                <w:sz w:val="19"/>
                <w:szCs w:val="19"/>
                <w:lang w:eastAsia="en-GB"/>
              </w:rPr>
              <w:t xml:space="preserve"> the issue</w:t>
            </w:r>
            <w:r w:rsidRPr="006D486E">
              <w:rPr>
                <w:rFonts w:eastAsia="Times New Roman" w:cs="Arial"/>
                <w:kern w:val="36"/>
                <w:sz w:val="19"/>
                <w:szCs w:val="19"/>
                <w:lang w:eastAsia="en-GB"/>
              </w:rPr>
              <w:t>.</w:t>
            </w:r>
          </w:p>
          <w:p w:rsidR="0098615A" w:rsidRPr="00315956" w:rsidRDefault="0098615A" w:rsidP="0020491E">
            <w:pPr>
              <w:pStyle w:val="Heading1"/>
              <w:numPr>
                <w:ilvl w:val="0"/>
                <w:numId w:val="0"/>
              </w:numPr>
              <w:outlineLvl w:val="0"/>
              <w:rPr>
                <w:rFonts w:cs="Arial"/>
                <w:sz w:val="19"/>
                <w:szCs w:val="19"/>
              </w:rPr>
            </w:pPr>
            <w:r w:rsidRPr="00315956">
              <w:rPr>
                <w:rFonts w:eastAsia="Times New Roman" w:cs="Arial"/>
                <w:bCs w:val="0"/>
                <w:sz w:val="19"/>
                <w:szCs w:val="19"/>
                <w:lang w:eastAsia="en-GB"/>
              </w:rPr>
              <w:t>In effect, both forms of potential TUPE transfer – a standard business transfer or a SPC are, once again, likely to be subject to the same sort of analysis under the well known “Spijkers" case.</w:t>
            </w:r>
          </w:p>
        </w:tc>
      </w:tr>
      <w:tr w:rsidR="0098615A" w:rsidRPr="00315956" w:rsidTr="0098615A">
        <w:tc>
          <w:tcPr>
            <w:tcW w:w="2376" w:type="dxa"/>
          </w:tcPr>
          <w:p w:rsidR="0098615A" w:rsidRPr="00315956" w:rsidRDefault="0098615A" w:rsidP="0020491E">
            <w:pPr>
              <w:pStyle w:val="Heading1"/>
              <w:numPr>
                <w:ilvl w:val="0"/>
                <w:numId w:val="0"/>
              </w:numPr>
              <w:outlineLvl w:val="0"/>
              <w:rPr>
                <w:rFonts w:cs="Arial"/>
                <w:sz w:val="19"/>
                <w:szCs w:val="19"/>
              </w:rPr>
            </w:pPr>
            <w:r w:rsidRPr="00315956">
              <w:rPr>
                <w:rFonts w:cs="Arial"/>
                <w:sz w:val="19"/>
                <w:szCs w:val="19"/>
              </w:rPr>
              <w:t>What are the circumstances in which an employee can be fairly dismissed?</w:t>
            </w:r>
          </w:p>
        </w:tc>
        <w:tc>
          <w:tcPr>
            <w:tcW w:w="3261" w:type="dxa"/>
          </w:tcPr>
          <w:p w:rsidR="0098615A" w:rsidRPr="00315956" w:rsidRDefault="0098615A" w:rsidP="0020491E">
            <w:pPr>
              <w:jc w:val="left"/>
              <w:rPr>
                <w:rFonts w:cs="Arial"/>
                <w:sz w:val="19"/>
                <w:szCs w:val="19"/>
              </w:rPr>
            </w:pPr>
            <w:r w:rsidRPr="00315956">
              <w:rPr>
                <w:rFonts w:cs="Arial"/>
                <w:sz w:val="19"/>
                <w:szCs w:val="19"/>
              </w:rPr>
              <w:t xml:space="preserve">If an employee is dismissed and the principal reason is the </w:t>
            </w:r>
            <w:r w:rsidRPr="00315956">
              <w:rPr>
                <w:rFonts w:cs="Arial"/>
                <w:sz w:val="19"/>
                <w:szCs w:val="19"/>
                <w:u w:val="single"/>
              </w:rPr>
              <w:t>transfer itself</w:t>
            </w:r>
            <w:r w:rsidRPr="00315956">
              <w:rPr>
                <w:rFonts w:cs="Arial"/>
                <w:sz w:val="19"/>
                <w:szCs w:val="19"/>
              </w:rPr>
              <w:t>, the dismissal will be automatically unfair.</w:t>
            </w:r>
          </w:p>
          <w:p w:rsidR="0098615A" w:rsidRPr="00315956" w:rsidRDefault="0098615A" w:rsidP="0020491E">
            <w:pPr>
              <w:jc w:val="left"/>
              <w:rPr>
                <w:rFonts w:cs="Arial"/>
                <w:sz w:val="19"/>
                <w:szCs w:val="19"/>
              </w:rPr>
            </w:pPr>
          </w:p>
          <w:p w:rsidR="0098615A" w:rsidRPr="00315956" w:rsidRDefault="0098615A" w:rsidP="0020491E">
            <w:pPr>
              <w:pStyle w:val="Heading1"/>
              <w:numPr>
                <w:ilvl w:val="0"/>
                <w:numId w:val="0"/>
              </w:numPr>
              <w:outlineLvl w:val="0"/>
              <w:rPr>
                <w:rFonts w:cs="Arial"/>
                <w:sz w:val="19"/>
                <w:szCs w:val="19"/>
              </w:rPr>
            </w:pPr>
            <w:r w:rsidRPr="00315956">
              <w:rPr>
                <w:rFonts w:cs="Arial"/>
                <w:sz w:val="19"/>
                <w:szCs w:val="19"/>
              </w:rPr>
              <w:t xml:space="preserve">If an employee is dismissed for a </w:t>
            </w:r>
            <w:r w:rsidRPr="00315956">
              <w:rPr>
                <w:rFonts w:cs="Arial"/>
                <w:sz w:val="19"/>
                <w:szCs w:val="19"/>
              </w:rPr>
              <w:lastRenderedPageBreak/>
              <w:t xml:space="preserve">reason </w:t>
            </w:r>
            <w:r w:rsidRPr="00315956">
              <w:rPr>
                <w:rFonts w:cs="Arial"/>
                <w:sz w:val="19"/>
                <w:szCs w:val="19"/>
                <w:u w:val="single"/>
              </w:rPr>
              <w:t>connected to</w:t>
            </w:r>
            <w:r w:rsidRPr="00315956">
              <w:rPr>
                <w:rFonts w:cs="Arial"/>
                <w:sz w:val="19"/>
                <w:szCs w:val="19"/>
              </w:rPr>
              <w:t xml:space="preserve"> the transfer which is not an economic, technical or organisational (“ETO”) reason, the dismissal will also be automatically unfair.</w:t>
            </w:r>
          </w:p>
          <w:p w:rsidR="0098615A" w:rsidRPr="00315956" w:rsidRDefault="0098615A" w:rsidP="0020491E">
            <w:pPr>
              <w:pStyle w:val="Heading1"/>
              <w:numPr>
                <w:ilvl w:val="0"/>
                <w:numId w:val="0"/>
              </w:numPr>
              <w:outlineLvl w:val="0"/>
              <w:rPr>
                <w:rFonts w:eastAsia="Times New Roman" w:cs="Arial"/>
                <w:bCs w:val="0"/>
                <w:kern w:val="36"/>
                <w:sz w:val="19"/>
                <w:szCs w:val="19"/>
                <w:lang w:eastAsia="en-GB"/>
              </w:rPr>
            </w:pPr>
            <w:r w:rsidRPr="00315956">
              <w:rPr>
                <w:rFonts w:cs="Arial"/>
                <w:sz w:val="19"/>
                <w:szCs w:val="19"/>
              </w:rPr>
              <w:t xml:space="preserve">If an employee is dismissed for an ETO reason, the dismissal </w:t>
            </w:r>
            <w:r w:rsidRPr="00315956">
              <w:rPr>
                <w:rFonts w:eastAsia="Times New Roman" w:cs="Arial"/>
                <w:bCs w:val="0"/>
                <w:kern w:val="36"/>
                <w:sz w:val="19"/>
                <w:szCs w:val="19"/>
                <w:lang w:eastAsia="en-GB"/>
              </w:rPr>
              <w:t>will be fair providing it meets the ordinary requirements of fairness.</w:t>
            </w:r>
          </w:p>
          <w:p w:rsidR="0098615A" w:rsidRPr="00315956" w:rsidRDefault="0098615A" w:rsidP="0020491E">
            <w:pPr>
              <w:pStyle w:val="Heading1"/>
              <w:numPr>
                <w:ilvl w:val="0"/>
                <w:numId w:val="0"/>
              </w:numPr>
              <w:outlineLvl w:val="0"/>
              <w:rPr>
                <w:rFonts w:cs="Arial"/>
                <w:sz w:val="19"/>
                <w:szCs w:val="19"/>
              </w:rPr>
            </w:pPr>
            <w:r w:rsidRPr="00315956">
              <w:rPr>
                <w:rFonts w:cs="Arial"/>
                <w:sz w:val="19"/>
                <w:szCs w:val="19"/>
              </w:rPr>
              <w:t>.</w:t>
            </w:r>
          </w:p>
          <w:p w:rsidR="0098615A" w:rsidRPr="00315956" w:rsidRDefault="0098615A" w:rsidP="0020491E">
            <w:pPr>
              <w:pStyle w:val="Heading1"/>
              <w:numPr>
                <w:ilvl w:val="0"/>
                <w:numId w:val="0"/>
              </w:numPr>
              <w:outlineLvl w:val="0"/>
              <w:rPr>
                <w:rFonts w:cs="Arial"/>
                <w:sz w:val="19"/>
                <w:szCs w:val="19"/>
              </w:rPr>
            </w:pPr>
          </w:p>
        </w:tc>
        <w:tc>
          <w:tcPr>
            <w:tcW w:w="3606" w:type="dxa"/>
          </w:tcPr>
          <w:p w:rsidR="0098615A" w:rsidRPr="006D486E" w:rsidRDefault="0098615A" w:rsidP="0020491E">
            <w:pPr>
              <w:spacing w:after="240"/>
              <w:jc w:val="left"/>
              <w:outlineLvl w:val="0"/>
              <w:rPr>
                <w:rFonts w:eastAsia="Times New Roman" w:cs="Arial"/>
                <w:kern w:val="36"/>
                <w:sz w:val="19"/>
                <w:szCs w:val="19"/>
                <w:lang w:eastAsia="en-GB"/>
              </w:rPr>
            </w:pPr>
            <w:r w:rsidRPr="006D486E">
              <w:rPr>
                <w:rFonts w:eastAsia="Times New Roman" w:cs="Arial"/>
                <w:kern w:val="36"/>
                <w:sz w:val="19"/>
                <w:szCs w:val="19"/>
                <w:lang w:eastAsia="en-GB"/>
              </w:rPr>
              <w:lastRenderedPageBreak/>
              <w:t xml:space="preserve">The new position is that dismissals will be automatically unfair if the sole or principal reason for a dismissal of an employee is the </w:t>
            </w:r>
            <w:r w:rsidRPr="006D486E">
              <w:rPr>
                <w:rFonts w:eastAsia="Times New Roman" w:cs="Arial"/>
                <w:kern w:val="36"/>
                <w:sz w:val="19"/>
                <w:szCs w:val="19"/>
                <w:u w:val="single"/>
                <w:lang w:eastAsia="en-GB"/>
              </w:rPr>
              <w:t>transfer</w:t>
            </w:r>
            <w:r w:rsidRPr="006D486E">
              <w:rPr>
                <w:rFonts w:eastAsia="Times New Roman" w:cs="Arial"/>
                <w:kern w:val="36"/>
                <w:sz w:val="19"/>
                <w:szCs w:val="19"/>
                <w:lang w:eastAsia="en-GB"/>
              </w:rPr>
              <w:t xml:space="preserve">. </w:t>
            </w:r>
          </w:p>
          <w:p w:rsidR="0098615A" w:rsidRPr="006D486E" w:rsidRDefault="0098615A" w:rsidP="0020491E">
            <w:pPr>
              <w:spacing w:after="240"/>
              <w:jc w:val="left"/>
              <w:outlineLvl w:val="0"/>
              <w:rPr>
                <w:rFonts w:eastAsia="Times New Roman" w:cs="Arial"/>
                <w:kern w:val="36"/>
                <w:sz w:val="19"/>
                <w:szCs w:val="19"/>
                <w:lang w:eastAsia="en-GB"/>
              </w:rPr>
            </w:pPr>
            <w:r w:rsidRPr="006D486E">
              <w:rPr>
                <w:rFonts w:eastAsia="Times New Roman" w:cs="Arial"/>
                <w:kern w:val="36"/>
                <w:sz w:val="19"/>
                <w:szCs w:val="19"/>
                <w:lang w:eastAsia="en-GB"/>
              </w:rPr>
              <w:t xml:space="preserve">However, where the sole or principal </w:t>
            </w:r>
            <w:r w:rsidRPr="006D486E">
              <w:rPr>
                <w:rFonts w:eastAsia="Times New Roman" w:cs="Arial"/>
                <w:kern w:val="36"/>
                <w:sz w:val="19"/>
                <w:szCs w:val="19"/>
                <w:lang w:eastAsia="en-GB"/>
              </w:rPr>
              <w:lastRenderedPageBreak/>
              <w:t>reason for the dismissal is an ETO reason, the dismissal will be potentially fair providing it meets the ordinary requirements of fairness.</w:t>
            </w:r>
          </w:p>
          <w:p w:rsidR="0098615A" w:rsidRPr="006D486E" w:rsidRDefault="0098615A" w:rsidP="0020491E">
            <w:pPr>
              <w:spacing w:after="240"/>
              <w:jc w:val="left"/>
              <w:outlineLvl w:val="0"/>
              <w:rPr>
                <w:rFonts w:eastAsia="Times New Roman" w:cs="Arial"/>
                <w:kern w:val="36"/>
                <w:sz w:val="19"/>
                <w:szCs w:val="19"/>
                <w:lang w:eastAsia="en-GB"/>
              </w:rPr>
            </w:pPr>
            <w:r w:rsidRPr="006D486E">
              <w:rPr>
                <w:rFonts w:eastAsia="Times New Roman" w:cs="Arial"/>
                <w:kern w:val="36"/>
                <w:sz w:val="19"/>
                <w:szCs w:val="19"/>
                <w:lang w:eastAsia="en-GB"/>
              </w:rPr>
              <w:t>Whilst the new rules do not refer to dismissals ‘connected to’ the transfer, this is unlikely to make much practical difference.  The Acquired Rights Directive does not use the words ‘reason connected to the transfer’, but the Court of Justice of the European Union (“CJEU”) has referenced it when determining cases.</w:t>
            </w:r>
          </w:p>
          <w:p w:rsidR="0098615A" w:rsidRPr="006D486E" w:rsidRDefault="0098615A" w:rsidP="0020491E">
            <w:pPr>
              <w:spacing w:after="240"/>
              <w:jc w:val="left"/>
              <w:outlineLvl w:val="0"/>
              <w:rPr>
                <w:rFonts w:eastAsia="Times New Roman" w:cs="Arial"/>
                <w:kern w:val="36"/>
                <w:sz w:val="19"/>
                <w:szCs w:val="19"/>
                <w:lang w:eastAsia="en-GB"/>
              </w:rPr>
            </w:pPr>
            <w:r w:rsidRPr="006D486E">
              <w:rPr>
                <w:rFonts w:eastAsia="Times New Roman" w:cs="Arial"/>
                <w:kern w:val="36"/>
                <w:sz w:val="19"/>
                <w:szCs w:val="19"/>
                <w:lang w:eastAsia="en-GB"/>
              </w:rPr>
              <w:t>The Government has acknowledged that there will be uncertainty about when dismissals will be fair under the new rules.</w:t>
            </w:r>
          </w:p>
          <w:p w:rsidR="0098615A" w:rsidRPr="00315956" w:rsidRDefault="0098615A" w:rsidP="0020491E">
            <w:pPr>
              <w:pStyle w:val="Heading1"/>
              <w:numPr>
                <w:ilvl w:val="0"/>
                <w:numId w:val="0"/>
              </w:numPr>
              <w:outlineLvl w:val="0"/>
              <w:rPr>
                <w:rFonts w:cs="Arial"/>
                <w:sz w:val="19"/>
                <w:szCs w:val="19"/>
              </w:rPr>
            </w:pPr>
            <w:r w:rsidRPr="00315956">
              <w:rPr>
                <w:rFonts w:eastAsia="Times New Roman" w:cs="Arial"/>
                <w:bCs w:val="0"/>
                <w:sz w:val="19"/>
                <w:szCs w:val="19"/>
                <w:lang w:eastAsia="en-GB"/>
              </w:rPr>
              <w:t xml:space="preserve">The new rules provide that a change of location can constitute an ETO reason.  This looks to be welcome news as it reduces the potential liabilities for automatic unfair dismissal arising from post-transfer relocations. Unfortunately, there is still some uncertainty as the Acquired Rights Directive does not expressly include a change of location in its definition of an ETO. This could therefore be open to challenge.  </w:t>
            </w:r>
          </w:p>
        </w:tc>
      </w:tr>
      <w:tr w:rsidR="0098615A" w:rsidRPr="00315956" w:rsidTr="0098615A">
        <w:tc>
          <w:tcPr>
            <w:tcW w:w="2376" w:type="dxa"/>
          </w:tcPr>
          <w:p w:rsidR="0098615A" w:rsidRPr="00315956" w:rsidRDefault="0098615A" w:rsidP="0020491E">
            <w:pPr>
              <w:pStyle w:val="Heading1"/>
              <w:numPr>
                <w:ilvl w:val="0"/>
                <w:numId w:val="0"/>
              </w:numPr>
              <w:outlineLvl w:val="0"/>
              <w:rPr>
                <w:rFonts w:cs="Arial"/>
                <w:sz w:val="19"/>
                <w:szCs w:val="19"/>
              </w:rPr>
            </w:pPr>
            <w:r w:rsidRPr="00315956">
              <w:rPr>
                <w:rFonts w:cs="Arial"/>
                <w:sz w:val="19"/>
                <w:szCs w:val="19"/>
              </w:rPr>
              <w:lastRenderedPageBreak/>
              <w:t>Can a transferee change the terms and conditions of a transferring employee?</w:t>
            </w:r>
          </w:p>
        </w:tc>
        <w:tc>
          <w:tcPr>
            <w:tcW w:w="3261" w:type="dxa"/>
          </w:tcPr>
          <w:p w:rsidR="0098615A" w:rsidRPr="00315956" w:rsidRDefault="0098615A" w:rsidP="0020491E">
            <w:pPr>
              <w:pStyle w:val="Heading1"/>
              <w:numPr>
                <w:ilvl w:val="0"/>
                <w:numId w:val="0"/>
              </w:numPr>
              <w:outlineLvl w:val="0"/>
              <w:rPr>
                <w:rFonts w:cs="Arial"/>
                <w:sz w:val="19"/>
                <w:szCs w:val="19"/>
              </w:rPr>
            </w:pPr>
            <w:r w:rsidRPr="00315956">
              <w:rPr>
                <w:rFonts w:cs="Arial"/>
                <w:sz w:val="19"/>
                <w:szCs w:val="19"/>
              </w:rPr>
              <w:t>Harmonisation is prohibited.</w:t>
            </w:r>
          </w:p>
          <w:p w:rsidR="0098615A" w:rsidRPr="00315956" w:rsidRDefault="0098615A" w:rsidP="0020491E">
            <w:pPr>
              <w:pStyle w:val="Heading1"/>
              <w:numPr>
                <w:ilvl w:val="0"/>
                <w:numId w:val="0"/>
              </w:numPr>
              <w:outlineLvl w:val="0"/>
              <w:rPr>
                <w:rFonts w:cs="Arial"/>
                <w:sz w:val="19"/>
                <w:szCs w:val="19"/>
              </w:rPr>
            </w:pPr>
            <w:r w:rsidRPr="00315956">
              <w:rPr>
                <w:rFonts w:cs="Arial"/>
                <w:sz w:val="19"/>
                <w:szCs w:val="19"/>
              </w:rPr>
              <w:t>Changes to an employee’s terms and conditions of employment are void if the principal reason is the transfer, or for a reason connected with the transfer that is not an ETO reason.</w:t>
            </w:r>
          </w:p>
          <w:p w:rsidR="0098615A" w:rsidRPr="00315956" w:rsidRDefault="0098615A" w:rsidP="0020491E">
            <w:pPr>
              <w:pStyle w:val="Heading1"/>
              <w:numPr>
                <w:ilvl w:val="0"/>
                <w:numId w:val="0"/>
              </w:numPr>
              <w:outlineLvl w:val="0"/>
              <w:rPr>
                <w:rFonts w:cs="Arial"/>
                <w:sz w:val="19"/>
                <w:szCs w:val="19"/>
              </w:rPr>
            </w:pPr>
            <w:r w:rsidRPr="00315956">
              <w:rPr>
                <w:rFonts w:cs="Arial"/>
                <w:sz w:val="19"/>
                <w:szCs w:val="19"/>
              </w:rPr>
              <w:t>Employers can only change terms and conditions to the extent that:</w:t>
            </w:r>
          </w:p>
          <w:p w:rsidR="0098615A" w:rsidRPr="00315956" w:rsidRDefault="0098615A" w:rsidP="0098615A">
            <w:pPr>
              <w:pStyle w:val="Heading1"/>
              <w:numPr>
                <w:ilvl w:val="0"/>
                <w:numId w:val="46"/>
              </w:numPr>
              <w:outlineLvl w:val="0"/>
              <w:rPr>
                <w:rFonts w:cs="Arial"/>
                <w:sz w:val="19"/>
                <w:szCs w:val="19"/>
              </w:rPr>
            </w:pPr>
            <w:r w:rsidRPr="00315956">
              <w:rPr>
                <w:rFonts w:cs="Arial"/>
                <w:sz w:val="19"/>
                <w:szCs w:val="19"/>
              </w:rPr>
              <w:t>It can establish an ETO reason and the employee agrees to the change.</w:t>
            </w:r>
          </w:p>
          <w:p w:rsidR="0098615A" w:rsidRPr="00315956" w:rsidRDefault="0098615A" w:rsidP="0098615A">
            <w:pPr>
              <w:pStyle w:val="Heading1"/>
              <w:numPr>
                <w:ilvl w:val="0"/>
                <w:numId w:val="46"/>
              </w:numPr>
              <w:outlineLvl w:val="0"/>
              <w:rPr>
                <w:rFonts w:cs="Arial"/>
                <w:sz w:val="19"/>
                <w:szCs w:val="19"/>
              </w:rPr>
            </w:pPr>
            <w:r w:rsidRPr="00315956">
              <w:rPr>
                <w:rFonts w:cs="Arial"/>
                <w:sz w:val="19"/>
                <w:szCs w:val="19"/>
              </w:rPr>
              <w:t>The changes are unconnected with the transfer.</w:t>
            </w:r>
          </w:p>
          <w:p w:rsidR="0098615A" w:rsidRPr="00315956" w:rsidRDefault="0098615A" w:rsidP="0098615A">
            <w:pPr>
              <w:pStyle w:val="Heading1"/>
              <w:numPr>
                <w:ilvl w:val="0"/>
                <w:numId w:val="46"/>
              </w:numPr>
              <w:outlineLvl w:val="0"/>
              <w:rPr>
                <w:rFonts w:cs="Arial"/>
                <w:sz w:val="19"/>
                <w:szCs w:val="19"/>
              </w:rPr>
            </w:pPr>
            <w:r w:rsidRPr="00315956">
              <w:rPr>
                <w:rFonts w:cs="Arial"/>
                <w:sz w:val="19"/>
                <w:szCs w:val="19"/>
              </w:rPr>
              <w:t>It is subject to relevant insolvency proceedings and changes are needed to save the business</w:t>
            </w:r>
          </w:p>
          <w:p w:rsidR="0098615A" w:rsidRPr="00315956" w:rsidRDefault="0098615A" w:rsidP="0020491E">
            <w:pPr>
              <w:pStyle w:val="Heading1"/>
              <w:numPr>
                <w:ilvl w:val="0"/>
                <w:numId w:val="0"/>
              </w:numPr>
              <w:ind w:left="720" w:hanging="720"/>
              <w:outlineLvl w:val="0"/>
              <w:rPr>
                <w:rFonts w:cs="Arial"/>
                <w:sz w:val="19"/>
                <w:szCs w:val="19"/>
              </w:rPr>
            </w:pPr>
          </w:p>
        </w:tc>
        <w:tc>
          <w:tcPr>
            <w:tcW w:w="3606" w:type="dxa"/>
          </w:tcPr>
          <w:p w:rsidR="0098615A" w:rsidRPr="00315956" w:rsidRDefault="0098615A" w:rsidP="0020491E">
            <w:pPr>
              <w:pStyle w:val="Heading1"/>
              <w:numPr>
                <w:ilvl w:val="0"/>
                <w:numId w:val="0"/>
              </w:numPr>
              <w:outlineLvl w:val="0"/>
              <w:rPr>
                <w:rFonts w:cs="Arial"/>
                <w:sz w:val="19"/>
                <w:szCs w:val="19"/>
              </w:rPr>
            </w:pPr>
            <w:r w:rsidRPr="00315956">
              <w:rPr>
                <w:rFonts w:cs="Arial"/>
                <w:sz w:val="19"/>
                <w:szCs w:val="19"/>
              </w:rPr>
              <w:t xml:space="preserve">It is still not possible to harmonise terms and conditions.  </w:t>
            </w:r>
          </w:p>
          <w:p w:rsidR="0098615A" w:rsidRPr="00315956" w:rsidRDefault="0098615A" w:rsidP="0020491E">
            <w:pPr>
              <w:pStyle w:val="Heading1"/>
              <w:numPr>
                <w:ilvl w:val="0"/>
                <w:numId w:val="0"/>
              </w:numPr>
              <w:outlineLvl w:val="0"/>
              <w:rPr>
                <w:rFonts w:cs="Arial"/>
                <w:sz w:val="19"/>
                <w:szCs w:val="19"/>
              </w:rPr>
            </w:pPr>
            <w:r w:rsidRPr="00315956">
              <w:rPr>
                <w:rFonts w:cs="Arial"/>
                <w:sz w:val="19"/>
                <w:szCs w:val="19"/>
              </w:rPr>
              <w:t>The new regulations provide that changes can be made:</w:t>
            </w:r>
          </w:p>
          <w:p w:rsidR="0098615A" w:rsidRPr="00315956" w:rsidRDefault="0098615A" w:rsidP="0098615A">
            <w:pPr>
              <w:pStyle w:val="Heading1"/>
              <w:numPr>
                <w:ilvl w:val="0"/>
                <w:numId w:val="45"/>
              </w:numPr>
              <w:outlineLvl w:val="0"/>
              <w:rPr>
                <w:rFonts w:cs="Arial"/>
                <w:sz w:val="19"/>
                <w:szCs w:val="19"/>
              </w:rPr>
            </w:pPr>
            <w:r w:rsidRPr="00315956">
              <w:rPr>
                <w:rFonts w:cs="Arial"/>
                <w:sz w:val="19"/>
                <w:szCs w:val="19"/>
              </w:rPr>
              <w:t>Where the contract of employment expressly permits the variation.</w:t>
            </w:r>
          </w:p>
          <w:p w:rsidR="0098615A" w:rsidRPr="00315956" w:rsidRDefault="0098615A" w:rsidP="0098615A">
            <w:pPr>
              <w:pStyle w:val="Heading1"/>
              <w:numPr>
                <w:ilvl w:val="0"/>
                <w:numId w:val="45"/>
              </w:numPr>
              <w:outlineLvl w:val="0"/>
              <w:rPr>
                <w:rFonts w:cs="Arial"/>
                <w:sz w:val="19"/>
                <w:szCs w:val="19"/>
              </w:rPr>
            </w:pPr>
            <w:r w:rsidRPr="00315956">
              <w:rPr>
                <w:rFonts w:cs="Arial"/>
                <w:sz w:val="19"/>
                <w:szCs w:val="19"/>
              </w:rPr>
              <w:t>Where the variation amounts to an ETO reason and the employee consents to the change.  A change of location is expressed to be an ETO reason.</w:t>
            </w:r>
          </w:p>
          <w:p w:rsidR="0098615A" w:rsidRPr="00315956" w:rsidRDefault="0098615A" w:rsidP="0020491E">
            <w:pPr>
              <w:pStyle w:val="BodyText"/>
              <w:rPr>
                <w:rFonts w:cs="Arial"/>
                <w:sz w:val="19"/>
                <w:szCs w:val="19"/>
              </w:rPr>
            </w:pPr>
            <w:r w:rsidRPr="00315956">
              <w:rPr>
                <w:rFonts w:cs="Arial"/>
                <w:sz w:val="19"/>
                <w:szCs w:val="19"/>
              </w:rPr>
              <w:t xml:space="preserve">These express provisions appear to give a transferee more flexibility, but there are potential problems for employers seeking to rely on them.  </w:t>
            </w:r>
          </w:p>
          <w:p w:rsidR="0098615A" w:rsidRPr="00315956" w:rsidRDefault="0098615A" w:rsidP="0020491E">
            <w:pPr>
              <w:pStyle w:val="BodyText"/>
              <w:rPr>
                <w:rFonts w:cs="Arial"/>
                <w:sz w:val="19"/>
                <w:szCs w:val="19"/>
              </w:rPr>
            </w:pPr>
            <w:r w:rsidRPr="00315956">
              <w:rPr>
                <w:rFonts w:cs="Arial"/>
                <w:sz w:val="19"/>
                <w:szCs w:val="19"/>
              </w:rPr>
              <w:t xml:space="preserve">The contractual right to vary T&amp;C’s is construed narrowly.  It is likely to only cover changes that are expressly referred to (such as the right to require an employee to work at a different location) rather than general provisions giving the employer the right to make any contractual changes.  Any changes </w:t>
            </w:r>
            <w:r w:rsidRPr="00315956">
              <w:rPr>
                <w:rFonts w:cs="Arial"/>
                <w:sz w:val="19"/>
                <w:szCs w:val="19"/>
              </w:rPr>
              <w:lastRenderedPageBreak/>
              <w:t xml:space="preserve">that are made must not damage the implied duty of trust and confidence between the parties.  </w:t>
            </w:r>
          </w:p>
          <w:p w:rsidR="0098615A" w:rsidRPr="00A44066" w:rsidRDefault="0098615A" w:rsidP="0020491E">
            <w:pPr>
              <w:spacing w:after="240"/>
              <w:jc w:val="left"/>
              <w:rPr>
                <w:rFonts w:eastAsia="Calibri" w:cs="Arial"/>
                <w:sz w:val="19"/>
                <w:szCs w:val="19"/>
                <w:lang w:eastAsia="en-GB"/>
              </w:rPr>
            </w:pPr>
            <w:r w:rsidRPr="00A44066">
              <w:rPr>
                <w:rFonts w:eastAsia="Calibri" w:cs="Arial"/>
                <w:sz w:val="19"/>
                <w:szCs w:val="19"/>
                <w:lang w:eastAsia="en-GB"/>
              </w:rPr>
              <w:t>Even changes that are permitted under the contract could amount to a ‘substantial change’ to the ‘material detriment’ of the employee</w:t>
            </w:r>
            <w:r w:rsidRPr="00315956">
              <w:rPr>
                <w:rFonts w:eastAsia="Calibri" w:cs="Arial"/>
                <w:sz w:val="19"/>
                <w:szCs w:val="19"/>
                <w:lang w:eastAsia="en-GB"/>
              </w:rPr>
              <w:t xml:space="preserve"> under TUPE 2006</w:t>
            </w:r>
            <w:r w:rsidRPr="00A44066">
              <w:rPr>
                <w:rFonts w:eastAsia="Calibri" w:cs="Arial"/>
                <w:sz w:val="19"/>
                <w:szCs w:val="19"/>
                <w:lang w:eastAsia="en-GB"/>
              </w:rPr>
              <w:t>. Such changes can lead to a successful claim for automatic unfair dismissal.</w:t>
            </w:r>
          </w:p>
          <w:p w:rsidR="0098615A" w:rsidRPr="00315956" w:rsidRDefault="0098615A" w:rsidP="0020491E">
            <w:pPr>
              <w:pStyle w:val="BodyText"/>
              <w:rPr>
                <w:rFonts w:cs="Arial"/>
                <w:sz w:val="19"/>
                <w:szCs w:val="19"/>
              </w:rPr>
            </w:pPr>
            <w:r w:rsidRPr="00315956">
              <w:rPr>
                <w:rFonts w:eastAsia="Calibri" w:cs="Arial"/>
                <w:sz w:val="19"/>
                <w:szCs w:val="19"/>
                <w:lang w:eastAsia="en-GB"/>
              </w:rPr>
              <w:t xml:space="preserve">Employees could also challenge any attempt to change their terms on the wider basis that this is contrary to the principles of the Acquired Rights Directive. </w:t>
            </w:r>
          </w:p>
        </w:tc>
      </w:tr>
      <w:tr w:rsidR="0098615A" w:rsidRPr="00315956" w:rsidTr="0098615A">
        <w:tc>
          <w:tcPr>
            <w:tcW w:w="2376" w:type="dxa"/>
          </w:tcPr>
          <w:p w:rsidR="0098615A" w:rsidRPr="00315956" w:rsidRDefault="0098615A" w:rsidP="0020491E">
            <w:pPr>
              <w:pStyle w:val="Heading1"/>
              <w:numPr>
                <w:ilvl w:val="0"/>
                <w:numId w:val="0"/>
              </w:numPr>
              <w:outlineLvl w:val="0"/>
              <w:rPr>
                <w:rFonts w:cs="Arial"/>
                <w:sz w:val="19"/>
                <w:szCs w:val="19"/>
              </w:rPr>
            </w:pPr>
            <w:r w:rsidRPr="00315956">
              <w:rPr>
                <w:rFonts w:cs="Arial"/>
                <w:sz w:val="19"/>
                <w:szCs w:val="19"/>
              </w:rPr>
              <w:lastRenderedPageBreak/>
              <w:t>To what extent can an employer change collectively agreed terms and conditions?</w:t>
            </w:r>
          </w:p>
        </w:tc>
        <w:tc>
          <w:tcPr>
            <w:tcW w:w="3261" w:type="dxa"/>
          </w:tcPr>
          <w:p w:rsidR="0098615A" w:rsidRPr="00A44066" w:rsidRDefault="0098615A" w:rsidP="0020491E">
            <w:pPr>
              <w:spacing w:after="240"/>
              <w:jc w:val="left"/>
              <w:outlineLvl w:val="0"/>
              <w:rPr>
                <w:rFonts w:eastAsia="Times New Roman" w:cs="Arial"/>
                <w:kern w:val="36"/>
                <w:sz w:val="19"/>
                <w:szCs w:val="19"/>
                <w:lang w:eastAsia="en-GB"/>
              </w:rPr>
            </w:pPr>
            <w:r w:rsidRPr="00A44066">
              <w:rPr>
                <w:rFonts w:eastAsia="Times New Roman" w:cs="Arial"/>
                <w:kern w:val="36"/>
                <w:sz w:val="19"/>
                <w:szCs w:val="19"/>
                <w:lang w:eastAsia="en-GB"/>
              </w:rPr>
              <w:t>Recent case-law has established that a transferee who is not a party to a collective agreement is not bound by future changes if they are not represented in those negotiations.  The collective agreement becomes fixed at the point of transfer. NB - changes taking effect after the transfer that had been negotiated on the transferor’s behalf will continue to bind the transferee.</w:t>
            </w:r>
          </w:p>
          <w:p w:rsidR="0098615A" w:rsidRPr="00315956" w:rsidRDefault="0098615A" w:rsidP="0020491E">
            <w:pPr>
              <w:pStyle w:val="Heading1"/>
              <w:numPr>
                <w:ilvl w:val="0"/>
                <w:numId w:val="0"/>
              </w:numPr>
              <w:outlineLvl w:val="0"/>
              <w:rPr>
                <w:rFonts w:cs="Arial"/>
                <w:sz w:val="19"/>
                <w:szCs w:val="19"/>
              </w:rPr>
            </w:pPr>
            <w:r w:rsidRPr="00315956">
              <w:rPr>
                <w:rFonts w:cs="Arial"/>
                <w:sz w:val="19"/>
                <w:szCs w:val="19"/>
              </w:rPr>
              <w:t>Collectively agreed terms can only be changed to the extent that the reason for the change is not the transfer, or a reason connected with it that is not an ETO reason.</w:t>
            </w:r>
          </w:p>
        </w:tc>
        <w:tc>
          <w:tcPr>
            <w:tcW w:w="3606" w:type="dxa"/>
          </w:tcPr>
          <w:p w:rsidR="0098615A" w:rsidRPr="00315956" w:rsidRDefault="0098615A" w:rsidP="0020491E">
            <w:pPr>
              <w:pStyle w:val="BodyText"/>
              <w:rPr>
                <w:rFonts w:cs="Arial"/>
                <w:sz w:val="19"/>
                <w:szCs w:val="19"/>
              </w:rPr>
            </w:pPr>
            <w:r w:rsidRPr="00315956">
              <w:rPr>
                <w:rFonts w:cs="Arial"/>
                <w:sz w:val="19"/>
                <w:szCs w:val="19"/>
              </w:rPr>
              <w:t>The new provisions codify the case-law with regard to fixing collectively agreed terms at the point of transfer.</w:t>
            </w:r>
          </w:p>
          <w:p w:rsidR="0098615A" w:rsidRPr="00315956" w:rsidRDefault="0098615A" w:rsidP="0020491E">
            <w:pPr>
              <w:pStyle w:val="BodyText"/>
              <w:rPr>
                <w:rFonts w:cs="Arial"/>
                <w:sz w:val="19"/>
                <w:szCs w:val="19"/>
              </w:rPr>
            </w:pPr>
            <w:r w:rsidRPr="00315956">
              <w:rPr>
                <w:rFonts w:cs="Arial"/>
                <w:sz w:val="19"/>
                <w:szCs w:val="19"/>
              </w:rPr>
              <w:t xml:space="preserve">However, the new provisions go further and provide that changes to collectively agreed terms can be made one year after the transfer, provided overall the terms are ‘no less favourable’.  There is no definition of what is meant by this concept.  </w:t>
            </w:r>
          </w:p>
          <w:p w:rsidR="0098615A" w:rsidRPr="00315956" w:rsidRDefault="0098615A" w:rsidP="0020491E">
            <w:pPr>
              <w:pStyle w:val="BodyText"/>
              <w:rPr>
                <w:rFonts w:cs="Arial"/>
                <w:sz w:val="19"/>
                <w:szCs w:val="19"/>
              </w:rPr>
            </w:pPr>
            <w:r w:rsidRPr="00315956">
              <w:rPr>
                <w:rFonts w:cs="Arial"/>
                <w:sz w:val="19"/>
                <w:szCs w:val="19"/>
              </w:rPr>
              <w:t>The position may be less clear than the new provisions suggest.  Employers will not be able to rely on this provision to harmonise terms and conditions of employment (as this is not permitted under the Directive).</w:t>
            </w:r>
          </w:p>
          <w:p w:rsidR="0098615A" w:rsidRPr="00315956" w:rsidRDefault="0098615A" w:rsidP="0020491E">
            <w:pPr>
              <w:pStyle w:val="BodyText"/>
              <w:rPr>
                <w:rFonts w:cs="Arial"/>
                <w:sz w:val="19"/>
                <w:szCs w:val="19"/>
              </w:rPr>
            </w:pPr>
            <w:r w:rsidRPr="00315956">
              <w:rPr>
                <w:rFonts w:cs="Arial"/>
                <w:sz w:val="19"/>
                <w:szCs w:val="19"/>
              </w:rPr>
              <w:t xml:space="preserve">Transferees who wish to make changes a year or more after the transfer are better advised to find a business reason to rely on rather than bringing the transfer itself into the argument. </w:t>
            </w:r>
          </w:p>
        </w:tc>
      </w:tr>
      <w:tr w:rsidR="0098615A" w:rsidRPr="00315956" w:rsidTr="0098615A">
        <w:tc>
          <w:tcPr>
            <w:tcW w:w="2376" w:type="dxa"/>
          </w:tcPr>
          <w:p w:rsidR="0098615A" w:rsidRPr="00315956" w:rsidRDefault="0098615A" w:rsidP="0020491E">
            <w:pPr>
              <w:pStyle w:val="Heading1"/>
              <w:numPr>
                <w:ilvl w:val="0"/>
                <w:numId w:val="0"/>
              </w:numPr>
              <w:outlineLvl w:val="0"/>
              <w:rPr>
                <w:rFonts w:cs="Arial"/>
                <w:sz w:val="19"/>
                <w:szCs w:val="19"/>
              </w:rPr>
            </w:pPr>
            <w:r w:rsidRPr="00315956">
              <w:rPr>
                <w:rFonts w:cs="Arial"/>
                <w:sz w:val="19"/>
                <w:szCs w:val="19"/>
              </w:rPr>
              <w:t>When do transferors have to provide employee liability information to transferees?</w:t>
            </w:r>
          </w:p>
        </w:tc>
        <w:tc>
          <w:tcPr>
            <w:tcW w:w="3261" w:type="dxa"/>
          </w:tcPr>
          <w:p w:rsidR="0098615A" w:rsidRPr="00315956" w:rsidRDefault="0098615A" w:rsidP="0020491E">
            <w:pPr>
              <w:pStyle w:val="Heading1"/>
              <w:numPr>
                <w:ilvl w:val="0"/>
                <w:numId w:val="0"/>
              </w:numPr>
              <w:outlineLvl w:val="0"/>
              <w:rPr>
                <w:rFonts w:cs="Arial"/>
                <w:sz w:val="19"/>
                <w:szCs w:val="19"/>
              </w:rPr>
            </w:pPr>
            <w:r w:rsidRPr="00315956">
              <w:rPr>
                <w:rFonts w:cs="Arial"/>
                <w:sz w:val="19"/>
                <w:szCs w:val="19"/>
              </w:rPr>
              <w:t>This information is required no less than 14 days before the transfer.</w:t>
            </w:r>
          </w:p>
        </w:tc>
        <w:tc>
          <w:tcPr>
            <w:tcW w:w="3606" w:type="dxa"/>
          </w:tcPr>
          <w:p w:rsidR="0098615A" w:rsidRPr="00315956" w:rsidRDefault="0098615A" w:rsidP="0020491E">
            <w:pPr>
              <w:pStyle w:val="Heading1"/>
              <w:numPr>
                <w:ilvl w:val="0"/>
                <w:numId w:val="0"/>
              </w:numPr>
              <w:outlineLvl w:val="0"/>
              <w:rPr>
                <w:rFonts w:cs="Arial"/>
                <w:sz w:val="19"/>
                <w:szCs w:val="19"/>
              </w:rPr>
            </w:pPr>
            <w:r w:rsidRPr="00315956">
              <w:rPr>
                <w:rFonts w:cs="Arial"/>
                <w:sz w:val="19"/>
                <w:szCs w:val="19"/>
              </w:rPr>
              <w:t>The new provisions require this information to be provided no less than 28 days before the transfer.</w:t>
            </w:r>
          </w:p>
          <w:p w:rsidR="0098615A" w:rsidRPr="00315956" w:rsidRDefault="0098615A" w:rsidP="0020491E">
            <w:pPr>
              <w:pStyle w:val="Heading1"/>
              <w:numPr>
                <w:ilvl w:val="0"/>
                <w:numId w:val="0"/>
              </w:numPr>
              <w:outlineLvl w:val="0"/>
              <w:rPr>
                <w:rFonts w:cs="Arial"/>
                <w:sz w:val="19"/>
                <w:szCs w:val="19"/>
              </w:rPr>
            </w:pPr>
            <w:r w:rsidRPr="00315956">
              <w:rPr>
                <w:rFonts w:cs="Arial"/>
                <w:sz w:val="19"/>
                <w:szCs w:val="19"/>
              </w:rPr>
              <w:t>This provision only affects transfers from 1 May 2014.</w:t>
            </w:r>
          </w:p>
        </w:tc>
      </w:tr>
      <w:tr w:rsidR="0098615A" w:rsidRPr="00315956" w:rsidTr="0098615A">
        <w:tc>
          <w:tcPr>
            <w:tcW w:w="2376" w:type="dxa"/>
          </w:tcPr>
          <w:p w:rsidR="0098615A" w:rsidRPr="00315956" w:rsidRDefault="004C5C0F" w:rsidP="004C5C0F">
            <w:pPr>
              <w:pStyle w:val="Heading1"/>
              <w:numPr>
                <w:ilvl w:val="0"/>
                <w:numId w:val="0"/>
              </w:numPr>
              <w:outlineLvl w:val="0"/>
              <w:rPr>
                <w:rFonts w:cs="Arial"/>
                <w:sz w:val="19"/>
                <w:szCs w:val="19"/>
              </w:rPr>
            </w:pPr>
            <w:r w:rsidRPr="00315956">
              <w:rPr>
                <w:rFonts w:cs="Arial"/>
                <w:sz w:val="19"/>
                <w:szCs w:val="19"/>
              </w:rPr>
              <w:t>Are there any exceptions to the provisions of TUPE that apply to micro businesses?</w:t>
            </w:r>
          </w:p>
        </w:tc>
        <w:tc>
          <w:tcPr>
            <w:tcW w:w="3261" w:type="dxa"/>
          </w:tcPr>
          <w:p w:rsidR="0098615A" w:rsidRPr="00315956" w:rsidRDefault="004C5C0F" w:rsidP="004C5C0F">
            <w:pPr>
              <w:pStyle w:val="Heading1"/>
              <w:numPr>
                <w:ilvl w:val="0"/>
                <w:numId w:val="0"/>
              </w:numPr>
              <w:outlineLvl w:val="0"/>
              <w:rPr>
                <w:rFonts w:cs="Arial"/>
                <w:sz w:val="19"/>
                <w:szCs w:val="19"/>
              </w:rPr>
            </w:pPr>
            <w:r w:rsidRPr="00315956">
              <w:rPr>
                <w:rFonts w:cs="Arial"/>
                <w:sz w:val="19"/>
                <w:szCs w:val="19"/>
              </w:rPr>
              <w:t>All businesses, whatever their size, are required to comply with the provisions of TUPE.</w:t>
            </w:r>
          </w:p>
        </w:tc>
        <w:tc>
          <w:tcPr>
            <w:tcW w:w="3606" w:type="dxa"/>
          </w:tcPr>
          <w:p w:rsidR="004C5C0F" w:rsidRPr="00315956" w:rsidRDefault="004C5C0F" w:rsidP="004C5C0F">
            <w:pPr>
              <w:pStyle w:val="BodyText"/>
              <w:rPr>
                <w:sz w:val="19"/>
                <w:szCs w:val="19"/>
              </w:rPr>
            </w:pPr>
            <w:r w:rsidRPr="00315956">
              <w:rPr>
                <w:sz w:val="19"/>
                <w:szCs w:val="19"/>
              </w:rPr>
              <w:t>Businesses with fewer than 10 staff will be allowed to inform and consult directly with employees where there are no pre-existing employee representatives who are recognised.</w:t>
            </w:r>
          </w:p>
          <w:p w:rsidR="0098615A" w:rsidRPr="00315956" w:rsidRDefault="004C5C0F" w:rsidP="004C5C0F">
            <w:pPr>
              <w:pStyle w:val="BodyText"/>
              <w:rPr>
                <w:rFonts w:cs="Arial"/>
                <w:sz w:val="19"/>
                <w:szCs w:val="19"/>
              </w:rPr>
            </w:pPr>
            <w:r w:rsidRPr="00315956">
              <w:rPr>
                <w:iCs/>
                <w:sz w:val="19"/>
                <w:szCs w:val="19"/>
              </w:rPr>
              <w:t>This is a significant improvement and will mean that transfers can be affected more quickly and cost effectively without the need to undertake an employee representative election process.</w:t>
            </w:r>
          </w:p>
        </w:tc>
      </w:tr>
    </w:tbl>
    <w:p w:rsidR="0098615A" w:rsidRPr="00315956" w:rsidRDefault="0098615A" w:rsidP="0098615A">
      <w:pPr>
        <w:pStyle w:val="Heading1"/>
        <w:numPr>
          <w:ilvl w:val="0"/>
          <w:numId w:val="0"/>
        </w:numPr>
        <w:rPr>
          <w:rFonts w:cs="Arial"/>
          <w:sz w:val="19"/>
          <w:szCs w:val="19"/>
        </w:rPr>
      </w:pPr>
    </w:p>
    <w:sectPr w:rsidR="0098615A" w:rsidRPr="00315956" w:rsidSect="00525B38">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15A" w:rsidRDefault="0098615A" w:rsidP="0098615A">
      <w:r>
        <w:separator/>
      </w:r>
    </w:p>
  </w:endnote>
  <w:endnote w:type="continuationSeparator" w:id="0">
    <w:p w:rsidR="0098615A" w:rsidRDefault="0098615A" w:rsidP="0098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C0F" w:rsidRDefault="004C5C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C0F" w:rsidRDefault="004C5C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C0F" w:rsidRDefault="004C5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15A" w:rsidRDefault="0098615A" w:rsidP="0098615A">
      <w:r>
        <w:separator/>
      </w:r>
    </w:p>
  </w:footnote>
  <w:footnote w:type="continuationSeparator" w:id="0">
    <w:p w:rsidR="0098615A" w:rsidRDefault="0098615A" w:rsidP="00986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C0F" w:rsidRDefault="004C5C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C0F" w:rsidRDefault="004C5C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C0F" w:rsidRDefault="004C5C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810641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CD14161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BCE7271"/>
    <w:multiLevelType w:val="hybridMultilevel"/>
    <w:tmpl w:val="42402354"/>
    <w:lvl w:ilvl="0" w:tplc="A412D288">
      <w:start w:val="1"/>
      <w:numFmt w:val="decimal"/>
      <w:pStyle w:val="Parties"/>
      <w:lvlText w:val="(%1)"/>
      <w:lvlJc w:val="left"/>
      <w:pPr>
        <w:ind w:left="720" w:hanging="360"/>
      </w:pPr>
      <w:rPr>
        <w:rFonts w:ascii="Arial"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A91B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78D5E90"/>
    <w:multiLevelType w:val="hybridMultilevel"/>
    <w:tmpl w:val="0EAA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B1458E"/>
    <w:multiLevelType w:val="hybridMultilevel"/>
    <w:tmpl w:val="45262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E9618D"/>
    <w:multiLevelType w:val="hybridMultilevel"/>
    <w:tmpl w:val="8A149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C2052B"/>
    <w:multiLevelType w:val="multilevel"/>
    <w:tmpl w:val="A8763192"/>
    <w:lvl w:ilvl="0">
      <w:start w:val="1"/>
      <w:numFmt w:val="decimal"/>
      <w:pStyle w:val="SchHeading1"/>
      <w:lvlText w:val="%1"/>
      <w:lvlJc w:val="left"/>
      <w:pPr>
        <w:tabs>
          <w:tab w:val="num" w:pos="720"/>
        </w:tabs>
        <w:ind w:left="720" w:hanging="720"/>
      </w:pPr>
      <w:rPr>
        <w:rFonts w:hint="default"/>
      </w:rPr>
    </w:lvl>
    <w:lvl w:ilvl="1">
      <w:start w:val="1"/>
      <w:numFmt w:val="decimal"/>
      <w:pStyle w:val="SchHeading2"/>
      <w:lvlText w:val="%1.%2"/>
      <w:lvlJc w:val="left"/>
      <w:pPr>
        <w:tabs>
          <w:tab w:val="num" w:pos="1440"/>
        </w:tabs>
        <w:ind w:left="1440" w:hanging="720"/>
      </w:pPr>
      <w:rPr>
        <w:rFonts w:hint="default"/>
      </w:rPr>
    </w:lvl>
    <w:lvl w:ilvl="2">
      <w:start w:val="1"/>
      <w:numFmt w:val="decimal"/>
      <w:pStyle w:val="SchHeading3"/>
      <w:lvlText w:val="%1.%2.%3"/>
      <w:lvlJc w:val="left"/>
      <w:pPr>
        <w:tabs>
          <w:tab w:val="num" w:pos="2160"/>
        </w:tabs>
        <w:ind w:left="2160" w:hanging="720"/>
      </w:pPr>
      <w:rPr>
        <w:rFonts w:hint="default"/>
      </w:rPr>
    </w:lvl>
    <w:lvl w:ilvl="3">
      <w:start w:val="1"/>
      <w:numFmt w:val="decimal"/>
      <w:pStyle w:val="SchHeading4"/>
      <w:lvlText w:val="%1.%2.%3.%4"/>
      <w:lvlJc w:val="left"/>
      <w:pPr>
        <w:tabs>
          <w:tab w:val="num" w:pos="3168"/>
        </w:tabs>
        <w:ind w:left="3168" w:hanging="1008"/>
      </w:pPr>
      <w:rPr>
        <w:rFonts w:hint="default"/>
      </w:rPr>
    </w:lvl>
    <w:lvl w:ilvl="4">
      <w:start w:val="1"/>
      <w:numFmt w:val="decimal"/>
      <w:pStyle w:val="SchHeading5"/>
      <w:lvlText w:val="%1.%2.%3.%4.%5"/>
      <w:lvlJc w:val="left"/>
      <w:pPr>
        <w:tabs>
          <w:tab w:val="num" w:pos="4320"/>
        </w:tabs>
        <w:ind w:left="4320" w:hanging="1152"/>
      </w:pPr>
      <w:rPr>
        <w:rFonts w:hint="default"/>
      </w:rPr>
    </w:lvl>
    <w:lvl w:ilvl="5">
      <w:start w:val="1"/>
      <w:numFmt w:val="decimal"/>
      <w:pStyle w:val="SchHeading6"/>
      <w:lvlText w:val="%1.%2.%3.%4.%5.%6"/>
      <w:lvlJc w:val="left"/>
      <w:pPr>
        <w:tabs>
          <w:tab w:val="num" w:pos="5472"/>
        </w:tabs>
        <w:ind w:left="5472" w:hanging="115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A030CD1"/>
    <w:multiLevelType w:val="multilevel"/>
    <w:tmpl w:val="9E4EA61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3168"/>
        </w:tabs>
        <w:ind w:left="3168" w:hanging="1008"/>
      </w:pPr>
      <w:rPr>
        <w:rFonts w:hint="default"/>
      </w:rPr>
    </w:lvl>
    <w:lvl w:ilvl="4">
      <w:start w:val="1"/>
      <w:numFmt w:val="decimal"/>
      <w:pStyle w:val="Heading5"/>
      <w:lvlText w:val="%1.%2.%3.%4.%5"/>
      <w:lvlJc w:val="left"/>
      <w:pPr>
        <w:tabs>
          <w:tab w:val="num" w:pos="4320"/>
        </w:tabs>
        <w:ind w:left="4320" w:hanging="1152"/>
      </w:pPr>
      <w:rPr>
        <w:rFonts w:ascii="Arial" w:hAnsi="Arial" w:hint="default"/>
        <w:color w:val="auto"/>
        <w:sz w:val="20"/>
      </w:rPr>
    </w:lvl>
    <w:lvl w:ilvl="5">
      <w:start w:val="1"/>
      <w:numFmt w:val="decimal"/>
      <w:pStyle w:val="Heading6"/>
      <w:lvlText w:val="%1.%2.%3.%4.%5.%6"/>
      <w:lvlJc w:val="left"/>
      <w:pPr>
        <w:tabs>
          <w:tab w:val="num" w:pos="5472"/>
        </w:tabs>
        <w:ind w:left="5472" w:hanging="1152"/>
      </w:pPr>
      <w:rPr>
        <w:rFonts w:hint="default"/>
      </w:rPr>
    </w:lvl>
    <w:lvl w:ilvl="6">
      <w:start w:val="1"/>
      <w:numFmt w:val="none"/>
      <w:pStyle w:val="Heading7"/>
      <w:lvlText w:val=""/>
      <w:lvlJc w:val="left"/>
      <w:pPr>
        <w:ind w:left="1296" w:hanging="1296"/>
      </w:pPr>
      <w:rPr>
        <w:rFonts w:hint="default"/>
      </w:rPr>
    </w:lvl>
    <w:lvl w:ilvl="7">
      <w:start w:val="1"/>
      <w:numFmt w:val="none"/>
      <w:pStyle w:val="Heading8"/>
      <w:lvlText w:val=""/>
      <w:lvlJc w:val="left"/>
      <w:pPr>
        <w:ind w:left="1440" w:hanging="1440"/>
      </w:pPr>
      <w:rPr>
        <w:rFonts w:hint="default"/>
      </w:rPr>
    </w:lvl>
    <w:lvl w:ilvl="8">
      <w:start w:val="1"/>
      <w:numFmt w:val="none"/>
      <w:pStyle w:val="Heading9"/>
      <w:lvlText w:val=""/>
      <w:lvlJc w:val="left"/>
      <w:pPr>
        <w:ind w:left="1584" w:hanging="1584"/>
      </w:pPr>
      <w:rPr>
        <w:rFonts w:hint="default"/>
      </w:rPr>
    </w:lvl>
  </w:abstractNum>
  <w:abstractNum w:abstractNumId="9">
    <w:nsid w:val="60BF4880"/>
    <w:multiLevelType w:val="hybridMultilevel"/>
    <w:tmpl w:val="1C82F13E"/>
    <w:lvl w:ilvl="0" w:tplc="8E548FB0">
      <w:start w:val="1"/>
      <w:numFmt w:val="upperLetter"/>
      <w:pStyle w:val="Background"/>
      <w:lvlText w:val="(%1)"/>
      <w:lvlJc w:val="left"/>
      <w:pPr>
        <w:ind w:left="720" w:hanging="360"/>
      </w:pPr>
      <w:rPr>
        <w:rFonts w:ascii="Arial"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9F03AF2"/>
    <w:multiLevelType w:val="hybridMultilevel"/>
    <w:tmpl w:val="2F3EB9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8"/>
  </w:num>
  <w:num w:numId="3">
    <w:abstractNumId w:val="2"/>
  </w:num>
  <w:num w:numId="4">
    <w:abstractNumId w:val="3"/>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1"/>
  </w:num>
  <w:num w:numId="21">
    <w:abstractNumId w:val="2"/>
  </w:num>
  <w:num w:numId="22">
    <w:abstractNumId w:val="7"/>
  </w:num>
  <w:num w:numId="23">
    <w:abstractNumId w:val="7"/>
  </w:num>
  <w:num w:numId="24">
    <w:abstractNumId w:val="7"/>
  </w:num>
  <w:num w:numId="25">
    <w:abstractNumId w:val="7"/>
  </w:num>
  <w:num w:numId="26">
    <w:abstractNumId w:val="9"/>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1"/>
  </w:num>
  <w:num w:numId="37">
    <w:abstractNumId w:val="2"/>
  </w:num>
  <w:num w:numId="38">
    <w:abstractNumId w:val="7"/>
  </w:num>
  <w:num w:numId="39">
    <w:abstractNumId w:val="7"/>
  </w:num>
  <w:num w:numId="40">
    <w:abstractNumId w:val="7"/>
  </w:num>
  <w:num w:numId="41">
    <w:abstractNumId w:val="7"/>
  </w:num>
  <w:num w:numId="42">
    <w:abstractNumId w:val="0"/>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6"/>
  </w:num>
  <w:num w:numId="46">
    <w:abstractNumId w:val="5"/>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Matter" w:val="BLS-EMP"/>
    <w:docVar w:name="ClientName" w:val="Business Legal Services"/>
    <w:docVar w:name="DocumentReference" w:val="5373829 "/>
    <w:docVar w:name="DocumentReferenceVersion" w:val="5373829-1"/>
    <w:docVar w:name="MatterName" w:val="Employment"/>
    <w:docVar w:name="TMS_CultureID" w:val="en-GB"/>
    <w:docVar w:name="TMS_OfficeID" w:val="Sheffield"/>
    <w:docVar w:name="TMS_TEMPLATE_ID" w:val="Blank"/>
  </w:docVars>
  <w:rsids>
    <w:rsidRoot w:val="0098615A"/>
    <w:rsid w:val="00017DE1"/>
    <w:rsid w:val="0004105D"/>
    <w:rsid w:val="00066904"/>
    <w:rsid w:val="000732CA"/>
    <w:rsid w:val="000A07D6"/>
    <w:rsid w:val="000B4657"/>
    <w:rsid w:val="000B4766"/>
    <w:rsid w:val="000B4944"/>
    <w:rsid w:val="00115DDB"/>
    <w:rsid w:val="00132569"/>
    <w:rsid w:val="00132CF6"/>
    <w:rsid w:val="001403C8"/>
    <w:rsid w:val="00193E1B"/>
    <w:rsid w:val="001F1211"/>
    <w:rsid w:val="00203E96"/>
    <w:rsid w:val="002313D4"/>
    <w:rsid w:val="002A7A85"/>
    <w:rsid w:val="002C2A77"/>
    <w:rsid w:val="002F33C1"/>
    <w:rsid w:val="003013C3"/>
    <w:rsid w:val="00315956"/>
    <w:rsid w:val="00375F36"/>
    <w:rsid w:val="00385703"/>
    <w:rsid w:val="003B467E"/>
    <w:rsid w:val="003B70D8"/>
    <w:rsid w:val="003C1C25"/>
    <w:rsid w:val="003E1CD5"/>
    <w:rsid w:val="003F3B06"/>
    <w:rsid w:val="003F434D"/>
    <w:rsid w:val="004067EB"/>
    <w:rsid w:val="0041186F"/>
    <w:rsid w:val="00424E25"/>
    <w:rsid w:val="00441C56"/>
    <w:rsid w:val="00444854"/>
    <w:rsid w:val="0045764F"/>
    <w:rsid w:val="00476776"/>
    <w:rsid w:val="004A1E57"/>
    <w:rsid w:val="004C5C0F"/>
    <w:rsid w:val="005054C9"/>
    <w:rsid w:val="00525B38"/>
    <w:rsid w:val="00526BB4"/>
    <w:rsid w:val="005E5DDB"/>
    <w:rsid w:val="00617698"/>
    <w:rsid w:val="006B376A"/>
    <w:rsid w:val="00790D11"/>
    <w:rsid w:val="007B0F0C"/>
    <w:rsid w:val="007C2394"/>
    <w:rsid w:val="007D3088"/>
    <w:rsid w:val="007E580E"/>
    <w:rsid w:val="007F0E1E"/>
    <w:rsid w:val="00805A32"/>
    <w:rsid w:val="008136E0"/>
    <w:rsid w:val="008240A4"/>
    <w:rsid w:val="008261AE"/>
    <w:rsid w:val="0083554E"/>
    <w:rsid w:val="00871BA4"/>
    <w:rsid w:val="00886200"/>
    <w:rsid w:val="008B0586"/>
    <w:rsid w:val="008E33FD"/>
    <w:rsid w:val="008E50F8"/>
    <w:rsid w:val="009442D3"/>
    <w:rsid w:val="0096242F"/>
    <w:rsid w:val="0098615A"/>
    <w:rsid w:val="00A2785E"/>
    <w:rsid w:val="00A93BCE"/>
    <w:rsid w:val="00AA7900"/>
    <w:rsid w:val="00B05526"/>
    <w:rsid w:val="00B3518A"/>
    <w:rsid w:val="00B77162"/>
    <w:rsid w:val="00B86BE2"/>
    <w:rsid w:val="00B93DBF"/>
    <w:rsid w:val="00BC42F7"/>
    <w:rsid w:val="00BE117F"/>
    <w:rsid w:val="00C20B40"/>
    <w:rsid w:val="00C30DAE"/>
    <w:rsid w:val="00C56E1D"/>
    <w:rsid w:val="00C8751A"/>
    <w:rsid w:val="00D44F74"/>
    <w:rsid w:val="00DA5488"/>
    <w:rsid w:val="00DE6955"/>
    <w:rsid w:val="00DF6426"/>
    <w:rsid w:val="00E31F79"/>
    <w:rsid w:val="00E4090C"/>
    <w:rsid w:val="00E56A57"/>
    <w:rsid w:val="00E65478"/>
    <w:rsid w:val="00EA2FC7"/>
    <w:rsid w:val="00EC0018"/>
    <w:rsid w:val="00EC58BE"/>
    <w:rsid w:val="00F01D7A"/>
    <w:rsid w:val="00F441BF"/>
    <w:rsid w:val="00F70C4E"/>
    <w:rsid w:val="00FA7B1E"/>
    <w:rsid w:val="00FD3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uiPriority="10" w:unhideWhenUsed="0" w:qFormat="1"/>
    <w:lsdException w:name="Default Paragraph Font" w:uiPriority="1"/>
    <w:lsdException w:name="Body Text" w:uiPriority="0"/>
    <w:lsdException w:name="Subtitle" w:uiPriority="11" w:unhideWhenUsed="0" w:qFormat="1"/>
    <w:lsdException w:name="Body Text 2" w:uiPriority="0"/>
    <w:lsdException w:name="Body Text 3"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98615A"/>
    <w:pPr>
      <w:jc w:val="both"/>
    </w:pPr>
    <w:rPr>
      <w:rFonts w:eastAsiaTheme="minorHAnsi" w:cstheme="minorBidi"/>
      <w:lang w:eastAsia="en-US"/>
    </w:rPr>
  </w:style>
  <w:style w:type="paragraph" w:styleId="Heading1">
    <w:name w:val="heading 1"/>
    <w:basedOn w:val="BodyText"/>
    <w:link w:val="Heading1Char"/>
    <w:uiPriority w:val="9"/>
    <w:qFormat/>
    <w:rsid w:val="00FA7B1E"/>
    <w:pPr>
      <w:numPr>
        <w:numId w:val="6"/>
      </w:numPr>
      <w:outlineLvl w:val="0"/>
    </w:pPr>
    <w:rPr>
      <w:rFonts w:eastAsiaTheme="majorEastAsia" w:cstheme="majorBidi"/>
      <w:bCs/>
      <w:szCs w:val="28"/>
    </w:rPr>
  </w:style>
  <w:style w:type="paragraph" w:styleId="Heading2">
    <w:name w:val="heading 2"/>
    <w:basedOn w:val="BodyText"/>
    <w:link w:val="Heading2Char"/>
    <w:uiPriority w:val="9"/>
    <w:qFormat/>
    <w:rsid w:val="00FA7B1E"/>
    <w:pPr>
      <w:numPr>
        <w:ilvl w:val="1"/>
        <w:numId w:val="6"/>
      </w:numPr>
      <w:outlineLvl w:val="1"/>
    </w:pPr>
    <w:rPr>
      <w:rFonts w:eastAsiaTheme="majorEastAsia" w:cstheme="majorBidi"/>
      <w:bCs/>
      <w:szCs w:val="26"/>
    </w:rPr>
  </w:style>
  <w:style w:type="paragraph" w:styleId="Heading3">
    <w:name w:val="heading 3"/>
    <w:basedOn w:val="BodyText"/>
    <w:link w:val="Heading3Char"/>
    <w:uiPriority w:val="9"/>
    <w:qFormat/>
    <w:rsid w:val="00FA7B1E"/>
    <w:pPr>
      <w:numPr>
        <w:ilvl w:val="2"/>
        <w:numId w:val="6"/>
      </w:numPr>
      <w:outlineLvl w:val="2"/>
    </w:pPr>
    <w:rPr>
      <w:rFonts w:eastAsiaTheme="majorEastAsia" w:cstheme="majorBidi"/>
      <w:bCs/>
    </w:rPr>
  </w:style>
  <w:style w:type="paragraph" w:styleId="Heading4">
    <w:name w:val="heading 4"/>
    <w:basedOn w:val="BodyText"/>
    <w:link w:val="Heading4Char"/>
    <w:uiPriority w:val="9"/>
    <w:qFormat/>
    <w:rsid w:val="00FA7B1E"/>
    <w:pPr>
      <w:numPr>
        <w:ilvl w:val="3"/>
        <w:numId w:val="6"/>
      </w:numPr>
      <w:outlineLvl w:val="3"/>
    </w:pPr>
    <w:rPr>
      <w:rFonts w:eastAsiaTheme="majorEastAsia" w:cstheme="majorBidi"/>
      <w:bCs/>
      <w:iCs/>
    </w:rPr>
  </w:style>
  <w:style w:type="paragraph" w:styleId="Heading5">
    <w:name w:val="heading 5"/>
    <w:basedOn w:val="BodyText"/>
    <w:link w:val="Heading5Char"/>
    <w:uiPriority w:val="9"/>
    <w:qFormat/>
    <w:rsid w:val="00FA7B1E"/>
    <w:pPr>
      <w:numPr>
        <w:ilvl w:val="4"/>
        <w:numId w:val="6"/>
      </w:numPr>
      <w:outlineLvl w:val="4"/>
    </w:pPr>
    <w:rPr>
      <w:rFonts w:eastAsiaTheme="majorEastAsia" w:cstheme="majorBidi"/>
    </w:rPr>
  </w:style>
  <w:style w:type="paragraph" w:styleId="Heading6">
    <w:name w:val="heading 6"/>
    <w:basedOn w:val="BodyText"/>
    <w:link w:val="Heading6Char"/>
    <w:uiPriority w:val="9"/>
    <w:qFormat/>
    <w:rsid w:val="00FA7B1E"/>
    <w:pPr>
      <w:numPr>
        <w:ilvl w:val="5"/>
        <w:numId w:val="6"/>
      </w:numPr>
      <w:outlineLvl w:val="5"/>
    </w:pPr>
    <w:rPr>
      <w:rFonts w:eastAsiaTheme="majorEastAsia" w:cstheme="majorBidi"/>
      <w:iCs/>
    </w:rPr>
  </w:style>
  <w:style w:type="paragraph" w:styleId="Heading7">
    <w:name w:val="heading 7"/>
    <w:basedOn w:val="Normal"/>
    <w:next w:val="Normal"/>
    <w:link w:val="Heading7Char"/>
    <w:uiPriority w:val="9"/>
    <w:unhideWhenUsed/>
    <w:qFormat/>
    <w:rsid w:val="00FA7B1E"/>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7B1E"/>
    <w:pPr>
      <w:keepNext/>
      <w:keepLines/>
      <w:numPr>
        <w:ilvl w:val="7"/>
        <w:numId w:val="6"/>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FA7B1E"/>
    <w:pPr>
      <w:keepNext/>
      <w:keepLines/>
      <w:numPr>
        <w:ilvl w:val="8"/>
        <w:numId w:val="6"/>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B1E"/>
    <w:rPr>
      <w:rFonts w:eastAsiaTheme="majorEastAsia" w:cstheme="majorBidi"/>
      <w:bCs/>
      <w:szCs w:val="28"/>
      <w:lang w:eastAsia="en-US"/>
    </w:rPr>
  </w:style>
  <w:style w:type="character" w:customStyle="1" w:styleId="Heading2Char">
    <w:name w:val="Heading 2 Char"/>
    <w:basedOn w:val="DefaultParagraphFont"/>
    <w:link w:val="Heading2"/>
    <w:rsid w:val="00FA7B1E"/>
    <w:rPr>
      <w:rFonts w:eastAsiaTheme="majorEastAsia" w:cstheme="majorBidi"/>
      <w:bCs/>
      <w:szCs w:val="26"/>
      <w:lang w:eastAsia="en-US"/>
    </w:rPr>
  </w:style>
  <w:style w:type="character" w:customStyle="1" w:styleId="Heading3Char">
    <w:name w:val="Heading 3 Char"/>
    <w:basedOn w:val="DefaultParagraphFont"/>
    <w:link w:val="Heading3"/>
    <w:rsid w:val="00FA7B1E"/>
    <w:rPr>
      <w:rFonts w:eastAsiaTheme="majorEastAsia" w:cstheme="majorBidi"/>
      <w:bCs/>
      <w:lang w:eastAsia="en-US"/>
    </w:rPr>
  </w:style>
  <w:style w:type="character" w:customStyle="1" w:styleId="Heading4Char">
    <w:name w:val="Heading 4 Char"/>
    <w:basedOn w:val="DefaultParagraphFont"/>
    <w:link w:val="Heading4"/>
    <w:rsid w:val="00FA7B1E"/>
    <w:rPr>
      <w:rFonts w:eastAsiaTheme="majorEastAsia" w:cstheme="majorBidi"/>
      <w:bCs/>
      <w:iCs/>
      <w:lang w:eastAsia="en-US"/>
    </w:rPr>
  </w:style>
  <w:style w:type="character" w:customStyle="1" w:styleId="Heading5Char">
    <w:name w:val="Heading 5 Char"/>
    <w:basedOn w:val="DefaultParagraphFont"/>
    <w:link w:val="Heading5"/>
    <w:rsid w:val="00FA7B1E"/>
    <w:rPr>
      <w:rFonts w:eastAsiaTheme="majorEastAsia" w:cstheme="majorBidi"/>
      <w:lang w:eastAsia="en-US"/>
    </w:rPr>
  </w:style>
  <w:style w:type="character" w:customStyle="1" w:styleId="Heading6Char">
    <w:name w:val="Heading 6 Char"/>
    <w:basedOn w:val="DefaultParagraphFont"/>
    <w:link w:val="Heading6"/>
    <w:rsid w:val="00FA7B1E"/>
    <w:rPr>
      <w:rFonts w:eastAsiaTheme="majorEastAsia" w:cstheme="majorBidi"/>
      <w:iCs/>
      <w:lang w:eastAsia="en-US"/>
    </w:rPr>
  </w:style>
  <w:style w:type="character" w:customStyle="1" w:styleId="Heading7Char">
    <w:name w:val="Heading 7 Char"/>
    <w:basedOn w:val="DefaultParagraphFont"/>
    <w:link w:val="Heading7"/>
    <w:uiPriority w:val="9"/>
    <w:rsid w:val="00FA7B1E"/>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FA7B1E"/>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FA7B1E"/>
    <w:rPr>
      <w:rFonts w:asciiTheme="majorHAnsi" w:eastAsiaTheme="majorEastAsia" w:hAnsiTheme="majorHAnsi" w:cstheme="majorBidi"/>
      <w:i/>
      <w:iCs/>
      <w:color w:val="404040" w:themeColor="text1" w:themeTint="BF"/>
      <w:lang w:eastAsia="en-US"/>
    </w:rPr>
  </w:style>
  <w:style w:type="paragraph" w:styleId="BodyText2">
    <w:name w:val="Body Text 2"/>
    <w:basedOn w:val="BodyText"/>
    <w:link w:val="BodyText2Char"/>
    <w:rsid w:val="00FA7B1E"/>
    <w:pPr>
      <w:ind w:left="1440"/>
    </w:pPr>
  </w:style>
  <w:style w:type="character" w:customStyle="1" w:styleId="BodyText2Char">
    <w:name w:val="Body Text 2 Char"/>
    <w:basedOn w:val="DefaultParagraphFont"/>
    <w:link w:val="BodyText2"/>
    <w:rsid w:val="00FA7B1E"/>
    <w:rPr>
      <w:rFonts w:eastAsiaTheme="minorHAnsi" w:cstheme="minorBidi"/>
      <w:lang w:eastAsia="en-US"/>
    </w:rPr>
  </w:style>
  <w:style w:type="paragraph" w:styleId="BodyText3">
    <w:name w:val="Body Text 3"/>
    <w:basedOn w:val="BodyText"/>
    <w:link w:val="BodyText3Char"/>
    <w:rsid w:val="00FA7B1E"/>
    <w:pPr>
      <w:ind w:left="2160"/>
    </w:pPr>
    <w:rPr>
      <w:szCs w:val="16"/>
    </w:rPr>
  </w:style>
  <w:style w:type="character" w:customStyle="1" w:styleId="BodyText3Char">
    <w:name w:val="Body Text 3 Char"/>
    <w:basedOn w:val="DefaultParagraphFont"/>
    <w:link w:val="BodyText3"/>
    <w:rsid w:val="00FA7B1E"/>
    <w:rPr>
      <w:rFonts w:eastAsiaTheme="minorHAnsi" w:cstheme="minorBidi"/>
      <w:szCs w:val="16"/>
      <w:lang w:eastAsia="en-US"/>
    </w:rPr>
  </w:style>
  <w:style w:type="paragraph" w:styleId="ListBullet">
    <w:name w:val="List Bullet"/>
    <w:basedOn w:val="Normal"/>
    <w:rsid w:val="00FA7B1E"/>
    <w:pPr>
      <w:numPr>
        <w:numId w:val="9"/>
      </w:numPr>
      <w:tabs>
        <w:tab w:val="clear" w:pos="360"/>
        <w:tab w:val="left" w:pos="720"/>
      </w:tabs>
      <w:spacing w:after="240"/>
      <w:ind w:left="720" w:hanging="720"/>
    </w:pPr>
  </w:style>
  <w:style w:type="paragraph" w:customStyle="1" w:styleId="Background">
    <w:name w:val="Background"/>
    <w:basedOn w:val="BodyText"/>
    <w:qFormat/>
    <w:rsid w:val="00FA7B1E"/>
    <w:pPr>
      <w:numPr>
        <w:numId w:val="1"/>
      </w:numPr>
      <w:tabs>
        <w:tab w:val="right" w:pos="9072"/>
      </w:tabs>
      <w:ind w:hanging="720"/>
    </w:pPr>
  </w:style>
  <w:style w:type="paragraph" w:customStyle="1" w:styleId="Parties">
    <w:name w:val="Parties"/>
    <w:basedOn w:val="Normal"/>
    <w:next w:val="BodyText"/>
    <w:qFormat/>
    <w:rsid w:val="00FA7B1E"/>
    <w:pPr>
      <w:numPr>
        <w:numId w:val="3"/>
      </w:numPr>
      <w:tabs>
        <w:tab w:val="right" w:pos="9072"/>
      </w:tabs>
      <w:ind w:hanging="720"/>
    </w:pPr>
  </w:style>
  <w:style w:type="paragraph" w:styleId="FootnoteText">
    <w:name w:val="footnote text"/>
    <w:basedOn w:val="Normal"/>
    <w:link w:val="FootnoteTextChar"/>
    <w:uiPriority w:val="99"/>
    <w:semiHidden/>
    <w:unhideWhenUsed/>
    <w:rsid w:val="00FA7B1E"/>
  </w:style>
  <w:style w:type="character" w:customStyle="1" w:styleId="FootnoteTextChar">
    <w:name w:val="Footnote Text Char"/>
    <w:basedOn w:val="DefaultParagraphFont"/>
    <w:link w:val="FootnoteText"/>
    <w:uiPriority w:val="99"/>
    <w:semiHidden/>
    <w:rsid w:val="00FA7B1E"/>
    <w:rPr>
      <w:rFonts w:eastAsiaTheme="minorHAnsi" w:cstheme="minorBidi"/>
      <w:lang w:eastAsia="en-US"/>
    </w:rPr>
  </w:style>
  <w:style w:type="character" w:styleId="FootnoteReference">
    <w:name w:val="footnote reference"/>
    <w:basedOn w:val="DefaultParagraphFont"/>
    <w:uiPriority w:val="99"/>
    <w:semiHidden/>
    <w:unhideWhenUsed/>
    <w:rsid w:val="00FA7B1E"/>
    <w:rPr>
      <w:vertAlign w:val="superscript"/>
    </w:rPr>
  </w:style>
  <w:style w:type="paragraph" w:customStyle="1" w:styleId="SchHeading1">
    <w:name w:val="Sch Heading 1"/>
    <w:basedOn w:val="BodyText"/>
    <w:next w:val="SchHeading2"/>
    <w:qFormat/>
    <w:rsid w:val="00FA7B1E"/>
    <w:pPr>
      <w:numPr>
        <w:numId w:val="8"/>
      </w:numPr>
      <w:outlineLvl w:val="5"/>
    </w:pPr>
    <w:rPr>
      <w:rFonts w:ascii="Arial Bold" w:hAnsi="Arial Bold"/>
      <w:b/>
      <w:caps/>
    </w:rPr>
  </w:style>
  <w:style w:type="paragraph" w:customStyle="1" w:styleId="SchHeading2">
    <w:name w:val="Sch Heading 2"/>
    <w:basedOn w:val="BodyText"/>
    <w:qFormat/>
    <w:rsid w:val="00FA7B1E"/>
    <w:pPr>
      <w:numPr>
        <w:ilvl w:val="1"/>
        <w:numId w:val="8"/>
      </w:numPr>
      <w:outlineLvl w:val="6"/>
    </w:pPr>
  </w:style>
  <w:style w:type="paragraph" w:customStyle="1" w:styleId="SchHeading3">
    <w:name w:val="Sch Heading 3"/>
    <w:basedOn w:val="BodyText"/>
    <w:qFormat/>
    <w:rsid w:val="00FA7B1E"/>
    <w:pPr>
      <w:numPr>
        <w:ilvl w:val="2"/>
        <w:numId w:val="8"/>
      </w:numPr>
      <w:outlineLvl w:val="7"/>
    </w:pPr>
  </w:style>
  <w:style w:type="paragraph" w:customStyle="1" w:styleId="SchHeading4">
    <w:name w:val="Sch Heading 4"/>
    <w:basedOn w:val="BodyText"/>
    <w:qFormat/>
    <w:rsid w:val="00FA7B1E"/>
    <w:pPr>
      <w:numPr>
        <w:ilvl w:val="3"/>
        <w:numId w:val="8"/>
      </w:numPr>
      <w:outlineLvl w:val="8"/>
    </w:pPr>
  </w:style>
  <w:style w:type="paragraph" w:customStyle="1" w:styleId="ScheduleHeading">
    <w:name w:val="Schedule Heading"/>
    <w:basedOn w:val="BodyText"/>
    <w:next w:val="SchedulePara"/>
    <w:qFormat/>
    <w:rsid w:val="00FA7B1E"/>
    <w:pPr>
      <w:jc w:val="center"/>
    </w:pPr>
    <w:rPr>
      <w:rFonts w:ascii="Arial Bold" w:hAnsi="Arial Bold"/>
      <w:b/>
      <w:caps/>
    </w:rPr>
  </w:style>
  <w:style w:type="paragraph" w:customStyle="1" w:styleId="SchedulePara">
    <w:name w:val="Schedule Para"/>
    <w:basedOn w:val="BodyText"/>
    <w:next w:val="SchHeading1"/>
    <w:qFormat/>
    <w:rsid w:val="00FA7B1E"/>
    <w:pPr>
      <w:jc w:val="center"/>
    </w:pPr>
    <w:rPr>
      <w:rFonts w:ascii="Arial Bold" w:hAnsi="Arial Bold"/>
      <w:b/>
    </w:rPr>
  </w:style>
  <w:style w:type="paragraph" w:customStyle="1" w:styleId="BodyText4">
    <w:name w:val="Body Text 4"/>
    <w:basedOn w:val="BodyText"/>
    <w:qFormat/>
    <w:rsid w:val="00FA7B1E"/>
    <w:pPr>
      <w:ind w:left="3168"/>
    </w:pPr>
  </w:style>
  <w:style w:type="paragraph" w:styleId="BodyText">
    <w:name w:val="Body Text"/>
    <w:link w:val="BodyTextChar"/>
    <w:rsid w:val="00FA7B1E"/>
    <w:pPr>
      <w:widowControl w:val="0"/>
      <w:spacing w:after="240"/>
    </w:pPr>
    <w:rPr>
      <w:rFonts w:eastAsiaTheme="minorHAnsi" w:cstheme="minorBidi"/>
      <w:lang w:eastAsia="en-US"/>
    </w:rPr>
  </w:style>
  <w:style w:type="character" w:customStyle="1" w:styleId="BodyTextChar">
    <w:name w:val="Body Text Char"/>
    <w:basedOn w:val="DefaultParagraphFont"/>
    <w:link w:val="BodyText"/>
    <w:rsid w:val="00FA7B1E"/>
    <w:rPr>
      <w:rFonts w:eastAsiaTheme="minorHAnsi" w:cstheme="minorBidi"/>
      <w:lang w:eastAsia="en-US"/>
    </w:rPr>
  </w:style>
  <w:style w:type="paragraph" w:customStyle="1" w:styleId="BodyText1">
    <w:name w:val="Body Text 1"/>
    <w:basedOn w:val="BodyText"/>
    <w:qFormat/>
    <w:rsid w:val="00FA7B1E"/>
    <w:pPr>
      <w:ind w:left="720"/>
    </w:pPr>
  </w:style>
  <w:style w:type="paragraph" w:customStyle="1" w:styleId="BodyText5">
    <w:name w:val="Body Text 5"/>
    <w:basedOn w:val="BodyText"/>
    <w:qFormat/>
    <w:rsid w:val="00FA7B1E"/>
    <w:pPr>
      <w:ind w:left="4320"/>
    </w:pPr>
  </w:style>
  <w:style w:type="table" w:styleId="TableGrid">
    <w:name w:val="Table Grid"/>
    <w:basedOn w:val="TableNormal"/>
    <w:uiPriority w:val="59"/>
    <w:rsid w:val="00FA7B1E"/>
    <w:rPr>
      <w:rFonts w:eastAsia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A7B1E"/>
    <w:pPr>
      <w:ind w:left="720"/>
      <w:contextualSpacing/>
    </w:pPr>
  </w:style>
  <w:style w:type="table" w:styleId="TableGrid1">
    <w:name w:val="Table Grid 1"/>
    <w:basedOn w:val="TableNormal"/>
    <w:uiPriority w:val="99"/>
    <w:semiHidden/>
    <w:unhideWhenUsed/>
    <w:rsid w:val="00FA7B1E"/>
    <w:pPr>
      <w:jc w:val="both"/>
    </w:pPr>
    <w:rPr>
      <w:rFonts w:eastAsiaTheme="minorHAnsi" w:cstheme="minorBid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A7B1E"/>
    <w:pPr>
      <w:jc w:val="both"/>
    </w:pPr>
    <w:rPr>
      <w:rFonts w:eastAsiaTheme="minorHAnsi" w:cstheme="minorBidi"/>
      <w:szCs w:val="22"/>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A7B1E"/>
    <w:pPr>
      <w:jc w:val="both"/>
    </w:pPr>
    <w:rPr>
      <w:rFonts w:eastAsiaTheme="minorHAnsi" w:cstheme="minorBidi"/>
      <w:szCs w:val="22"/>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A7B1E"/>
    <w:pPr>
      <w:jc w:val="both"/>
    </w:pPr>
    <w:rPr>
      <w:rFonts w:eastAsiaTheme="minorHAnsi" w:cstheme="minorBidi"/>
      <w:szCs w:val="22"/>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A7B1E"/>
    <w:pPr>
      <w:jc w:val="both"/>
    </w:pPr>
    <w:rPr>
      <w:rFonts w:eastAsiaTheme="minorHAnsi" w:cstheme="minorBidi"/>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A7B1E"/>
    <w:pPr>
      <w:jc w:val="both"/>
    </w:pPr>
    <w:rPr>
      <w:rFonts w:eastAsiaTheme="minorHAnsi" w:cstheme="minorBidi"/>
      <w:szCs w:val="22"/>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A7B1E"/>
    <w:pPr>
      <w:jc w:val="both"/>
    </w:pPr>
    <w:rPr>
      <w:rFonts w:eastAsiaTheme="minorHAnsi" w:cstheme="minorBidi"/>
      <w:b/>
      <w:bCs/>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A7B1E"/>
    <w:pPr>
      <w:jc w:val="both"/>
    </w:pPr>
    <w:rPr>
      <w:rFonts w:eastAsiaTheme="minorHAnsi" w:cstheme="minorBidi"/>
      <w:szCs w:val="22"/>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A7B1E"/>
    <w:pPr>
      <w:jc w:val="both"/>
    </w:pPr>
    <w:rPr>
      <w:rFonts w:eastAsiaTheme="minorHAnsi" w:cstheme="minorBid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chHeading5">
    <w:name w:val="Sch Heading 5"/>
    <w:basedOn w:val="BodyText"/>
    <w:qFormat/>
    <w:rsid w:val="00FA7B1E"/>
    <w:pPr>
      <w:numPr>
        <w:ilvl w:val="4"/>
        <w:numId w:val="8"/>
      </w:numPr>
    </w:pPr>
  </w:style>
  <w:style w:type="paragraph" w:customStyle="1" w:styleId="SchHeading6">
    <w:name w:val="Sch Heading 6"/>
    <w:basedOn w:val="BodyText"/>
    <w:qFormat/>
    <w:rsid w:val="00FA7B1E"/>
    <w:pPr>
      <w:numPr>
        <w:ilvl w:val="5"/>
        <w:numId w:val="8"/>
      </w:numPr>
    </w:pPr>
  </w:style>
  <w:style w:type="paragraph" w:customStyle="1" w:styleId="BodyText6">
    <w:name w:val="Body Text 6"/>
    <w:basedOn w:val="BodyText"/>
    <w:qFormat/>
    <w:rsid w:val="00FA7B1E"/>
    <w:pPr>
      <w:ind w:left="5472"/>
    </w:pPr>
  </w:style>
  <w:style w:type="paragraph" w:styleId="Header">
    <w:name w:val="header"/>
    <w:basedOn w:val="Normal"/>
    <w:link w:val="HeaderChar"/>
    <w:uiPriority w:val="99"/>
    <w:unhideWhenUsed/>
    <w:rsid w:val="0098615A"/>
    <w:pPr>
      <w:tabs>
        <w:tab w:val="center" w:pos="4513"/>
        <w:tab w:val="right" w:pos="9026"/>
      </w:tabs>
    </w:pPr>
  </w:style>
  <w:style w:type="character" w:customStyle="1" w:styleId="HeaderChar">
    <w:name w:val="Header Char"/>
    <w:basedOn w:val="DefaultParagraphFont"/>
    <w:link w:val="Header"/>
    <w:uiPriority w:val="99"/>
    <w:rsid w:val="0098615A"/>
    <w:rPr>
      <w:rFonts w:eastAsiaTheme="minorHAnsi" w:cstheme="minorBidi"/>
      <w:lang w:eastAsia="en-US"/>
    </w:rPr>
  </w:style>
  <w:style w:type="paragraph" w:styleId="Footer">
    <w:name w:val="footer"/>
    <w:basedOn w:val="Normal"/>
    <w:link w:val="FooterChar"/>
    <w:uiPriority w:val="99"/>
    <w:unhideWhenUsed/>
    <w:rsid w:val="0098615A"/>
    <w:pPr>
      <w:tabs>
        <w:tab w:val="center" w:pos="4513"/>
        <w:tab w:val="right" w:pos="9026"/>
      </w:tabs>
    </w:pPr>
  </w:style>
  <w:style w:type="character" w:customStyle="1" w:styleId="FooterChar">
    <w:name w:val="Footer Char"/>
    <w:basedOn w:val="DefaultParagraphFont"/>
    <w:link w:val="Footer"/>
    <w:uiPriority w:val="99"/>
    <w:rsid w:val="0098615A"/>
    <w:rPr>
      <w:rFonts w:eastAsiaTheme="minorHAnsi" w:cstheme="minorBidi"/>
      <w:lang w:eastAsia="en-US"/>
    </w:rPr>
  </w:style>
  <w:style w:type="table" w:styleId="LightShading-Accent4">
    <w:name w:val="Light Shading Accent 4"/>
    <w:basedOn w:val="TableNormal"/>
    <w:uiPriority w:val="60"/>
    <w:rsid w:val="0098615A"/>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uiPriority="10" w:unhideWhenUsed="0" w:qFormat="1"/>
    <w:lsdException w:name="Default Paragraph Font" w:uiPriority="1"/>
    <w:lsdException w:name="Body Text" w:uiPriority="0"/>
    <w:lsdException w:name="Subtitle" w:uiPriority="11" w:unhideWhenUsed="0" w:qFormat="1"/>
    <w:lsdException w:name="Body Text 2" w:uiPriority="0"/>
    <w:lsdException w:name="Body Text 3"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98615A"/>
    <w:pPr>
      <w:jc w:val="both"/>
    </w:pPr>
    <w:rPr>
      <w:rFonts w:eastAsiaTheme="minorHAnsi" w:cstheme="minorBidi"/>
      <w:lang w:eastAsia="en-US"/>
    </w:rPr>
  </w:style>
  <w:style w:type="paragraph" w:styleId="Heading1">
    <w:name w:val="heading 1"/>
    <w:basedOn w:val="BodyText"/>
    <w:link w:val="Heading1Char"/>
    <w:uiPriority w:val="9"/>
    <w:qFormat/>
    <w:rsid w:val="00FA7B1E"/>
    <w:pPr>
      <w:numPr>
        <w:numId w:val="6"/>
      </w:numPr>
      <w:outlineLvl w:val="0"/>
    </w:pPr>
    <w:rPr>
      <w:rFonts w:eastAsiaTheme="majorEastAsia" w:cstheme="majorBidi"/>
      <w:bCs/>
      <w:szCs w:val="28"/>
    </w:rPr>
  </w:style>
  <w:style w:type="paragraph" w:styleId="Heading2">
    <w:name w:val="heading 2"/>
    <w:basedOn w:val="BodyText"/>
    <w:link w:val="Heading2Char"/>
    <w:uiPriority w:val="9"/>
    <w:qFormat/>
    <w:rsid w:val="00FA7B1E"/>
    <w:pPr>
      <w:numPr>
        <w:ilvl w:val="1"/>
        <w:numId w:val="6"/>
      </w:numPr>
      <w:outlineLvl w:val="1"/>
    </w:pPr>
    <w:rPr>
      <w:rFonts w:eastAsiaTheme="majorEastAsia" w:cstheme="majorBidi"/>
      <w:bCs/>
      <w:szCs w:val="26"/>
    </w:rPr>
  </w:style>
  <w:style w:type="paragraph" w:styleId="Heading3">
    <w:name w:val="heading 3"/>
    <w:basedOn w:val="BodyText"/>
    <w:link w:val="Heading3Char"/>
    <w:uiPriority w:val="9"/>
    <w:qFormat/>
    <w:rsid w:val="00FA7B1E"/>
    <w:pPr>
      <w:numPr>
        <w:ilvl w:val="2"/>
        <w:numId w:val="6"/>
      </w:numPr>
      <w:outlineLvl w:val="2"/>
    </w:pPr>
    <w:rPr>
      <w:rFonts w:eastAsiaTheme="majorEastAsia" w:cstheme="majorBidi"/>
      <w:bCs/>
    </w:rPr>
  </w:style>
  <w:style w:type="paragraph" w:styleId="Heading4">
    <w:name w:val="heading 4"/>
    <w:basedOn w:val="BodyText"/>
    <w:link w:val="Heading4Char"/>
    <w:uiPriority w:val="9"/>
    <w:qFormat/>
    <w:rsid w:val="00FA7B1E"/>
    <w:pPr>
      <w:numPr>
        <w:ilvl w:val="3"/>
        <w:numId w:val="6"/>
      </w:numPr>
      <w:outlineLvl w:val="3"/>
    </w:pPr>
    <w:rPr>
      <w:rFonts w:eastAsiaTheme="majorEastAsia" w:cstheme="majorBidi"/>
      <w:bCs/>
      <w:iCs/>
    </w:rPr>
  </w:style>
  <w:style w:type="paragraph" w:styleId="Heading5">
    <w:name w:val="heading 5"/>
    <w:basedOn w:val="BodyText"/>
    <w:link w:val="Heading5Char"/>
    <w:uiPriority w:val="9"/>
    <w:qFormat/>
    <w:rsid w:val="00FA7B1E"/>
    <w:pPr>
      <w:numPr>
        <w:ilvl w:val="4"/>
        <w:numId w:val="6"/>
      </w:numPr>
      <w:outlineLvl w:val="4"/>
    </w:pPr>
    <w:rPr>
      <w:rFonts w:eastAsiaTheme="majorEastAsia" w:cstheme="majorBidi"/>
    </w:rPr>
  </w:style>
  <w:style w:type="paragraph" w:styleId="Heading6">
    <w:name w:val="heading 6"/>
    <w:basedOn w:val="BodyText"/>
    <w:link w:val="Heading6Char"/>
    <w:uiPriority w:val="9"/>
    <w:qFormat/>
    <w:rsid w:val="00FA7B1E"/>
    <w:pPr>
      <w:numPr>
        <w:ilvl w:val="5"/>
        <w:numId w:val="6"/>
      </w:numPr>
      <w:outlineLvl w:val="5"/>
    </w:pPr>
    <w:rPr>
      <w:rFonts w:eastAsiaTheme="majorEastAsia" w:cstheme="majorBidi"/>
      <w:iCs/>
    </w:rPr>
  </w:style>
  <w:style w:type="paragraph" w:styleId="Heading7">
    <w:name w:val="heading 7"/>
    <w:basedOn w:val="Normal"/>
    <w:next w:val="Normal"/>
    <w:link w:val="Heading7Char"/>
    <w:uiPriority w:val="9"/>
    <w:unhideWhenUsed/>
    <w:qFormat/>
    <w:rsid w:val="00FA7B1E"/>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7B1E"/>
    <w:pPr>
      <w:keepNext/>
      <w:keepLines/>
      <w:numPr>
        <w:ilvl w:val="7"/>
        <w:numId w:val="6"/>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FA7B1E"/>
    <w:pPr>
      <w:keepNext/>
      <w:keepLines/>
      <w:numPr>
        <w:ilvl w:val="8"/>
        <w:numId w:val="6"/>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B1E"/>
    <w:rPr>
      <w:rFonts w:eastAsiaTheme="majorEastAsia" w:cstheme="majorBidi"/>
      <w:bCs/>
      <w:szCs w:val="28"/>
      <w:lang w:eastAsia="en-US"/>
    </w:rPr>
  </w:style>
  <w:style w:type="character" w:customStyle="1" w:styleId="Heading2Char">
    <w:name w:val="Heading 2 Char"/>
    <w:basedOn w:val="DefaultParagraphFont"/>
    <w:link w:val="Heading2"/>
    <w:rsid w:val="00FA7B1E"/>
    <w:rPr>
      <w:rFonts w:eastAsiaTheme="majorEastAsia" w:cstheme="majorBidi"/>
      <w:bCs/>
      <w:szCs w:val="26"/>
      <w:lang w:eastAsia="en-US"/>
    </w:rPr>
  </w:style>
  <w:style w:type="character" w:customStyle="1" w:styleId="Heading3Char">
    <w:name w:val="Heading 3 Char"/>
    <w:basedOn w:val="DefaultParagraphFont"/>
    <w:link w:val="Heading3"/>
    <w:rsid w:val="00FA7B1E"/>
    <w:rPr>
      <w:rFonts w:eastAsiaTheme="majorEastAsia" w:cstheme="majorBidi"/>
      <w:bCs/>
      <w:lang w:eastAsia="en-US"/>
    </w:rPr>
  </w:style>
  <w:style w:type="character" w:customStyle="1" w:styleId="Heading4Char">
    <w:name w:val="Heading 4 Char"/>
    <w:basedOn w:val="DefaultParagraphFont"/>
    <w:link w:val="Heading4"/>
    <w:rsid w:val="00FA7B1E"/>
    <w:rPr>
      <w:rFonts w:eastAsiaTheme="majorEastAsia" w:cstheme="majorBidi"/>
      <w:bCs/>
      <w:iCs/>
      <w:lang w:eastAsia="en-US"/>
    </w:rPr>
  </w:style>
  <w:style w:type="character" w:customStyle="1" w:styleId="Heading5Char">
    <w:name w:val="Heading 5 Char"/>
    <w:basedOn w:val="DefaultParagraphFont"/>
    <w:link w:val="Heading5"/>
    <w:rsid w:val="00FA7B1E"/>
    <w:rPr>
      <w:rFonts w:eastAsiaTheme="majorEastAsia" w:cstheme="majorBidi"/>
      <w:lang w:eastAsia="en-US"/>
    </w:rPr>
  </w:style>
  <w:style w:type="character" w:customStyle="1" w:styleId="Heading6Char">
    <w:name w:val="Heading 6 Char"/>
    <w:basedOn w:val="DefaultParagraphFont"/>
    <w:link w:val="Heading6"/>
    <w:rsid w:val="00FA7B1E"/>
    <w:rPr>
      <w:rFonts w:eastAsiaTheme="majorEastAsia" w:cstheme="majorBidi"/>
      <w:iCs/>
      <w:lang w:eastAsia="en-US"/>
    </w:rPr>
  </w:style>
  <w:style w:type="character" w:customStyle="1" w:styleId="Heading7Char">
    <w:name w:val="Heading 7 Char"/>
    <w:basedOn w:val="DefaultParagraphFont"/>
    <w:link w:val="Heading7"/>
    <w:uiPriority w:val="9"/>
    <w:rsid w:val="00FA7B1E"/>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FA7B1E"/>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FA7B1E"/>
    <w:rPr>
      <w:rFonts w:asciiTheme="majorHAnsi" w:eastAsiaTheme="majorEastAsia" w:hAnsiTheme="majorHAnsi" w:cstheme="majorBidi"/>
      <w:i/>
      <w:iCs/>
      <w:color w:val="404040" w:themeColor="text1" w:themeTint="BF"/>
      <w:lang w:eastAsia="en-US"/>
    </w:rPr>
  </w:style>
  <w:style w:type="paragraph" w:styleId="BodyText2">
    <w:name w:val="Body Text 2"/>
    <w:basedOn w:val="BodyText"/>
    <w:link w:val="BodyText2Char"/>
    <w:rsid w:val="00FA7B1E"/>
    <w:pPr>
      <w:ind w:left="1440"/>
    </w:pPr>
  </w:style>
  <w:style w:type="character" w:customStyle="1" w:styleId="BodyText2Char">
    <w:name w:val="Body Text 2 Char"/>
    <w:basedOn w:val="DefaultParagraphFont"/>
    <w:link w:val="BodyText2"/>
    <w:rsid w:val="00FA7B1E"/>
    <w:rPr>
      <w:rFonts w:eastAsiaTheme="minorHAnsi" w:cstheme="minorBidi"/>
      <w:lang w:eastAsia="en-US"/>
    </w:rPr>
  </w:style>
  <w:style w:type="paragraph" w:styleId="BodyText3">
    <w:name w:val="Body Text 3"/>
    <w:basedOn w:val="BodyText"/>
    <w:link w:val="BodyText3Char"/>
    <w:rsid w:val="00FA7B1E"/>
    <w:pPr>
      <w:ind w:left="2160"/>
    </w:pPr>
    <w:rPr>
      <w:szCs w:val="16"/>
    </w:rPr>
  </w:style>
  <w:style w:type="character" w:customStyle="1" w:styleId="BodyText3Char">
    <w:name w:val="Body Text 3 Char"/>
    <w:basedOn w:val="DefaultParagraphFont"/>
    <w:link w:val="BodyText3"/>
    <w:rsid w:val="00FA7B1E"/>
    <w:rPr>
      <w:rFonts w:eastAsiaTheme="minorHAnsi" w:cstheme="minorBidi"/>
      <w:szCs w:val="16"/>
      <w:lang w:eastAsia="en-US"/>
    </w:rPr>
  </w:style>
  <w:style w:type="paragraph" w:styleId="ListBullet">
    <w:name w:val="List Bullet"/>
    <w:basedOn w:val="Normal"/>
    <w:rsid w:val="00FA7B1E"/>
    <w:pPr>
      <w:numPr>
        <w:numId w:val="9"/>
      </w:numPr>
      <w:tabs>
        <w:tab w:val="clear" w:pos="360"/>
        <w:tab w:val="left" w:pos="720"/>
      </w:tabs>
      <w:spacing w:after="240"/>
      <w:ind w:left="720" w:hanging="720"/>
    </w:pPr>
  </w:style>
  <w:style w:type="paragraph" w:customStyle="1" w:styleId="Background">
    <w:name w:val="Background"/>
    <w:basedOn w:val="BodyText"/>
    <w:qFormat/>
    <w:rsid w:val="00FA7B1E"/>
    <w:pPr>
      <w:numPr>
        <w:numId w:val="1"/>
      </w:numPr>
      <w:tabs>
        <w:tab w:val="right" w:pos="9072"/>
      </w:tabs>
      <w:ind w:hanging="720"/>
    </w:pPr>
  </w:style>
  <w:style w:type="paragraph" w:customStyle="1" w:styleId="Parties">
    <w:name w:val="Parties"/>
    <w:basedOn w:val="Normal"/>
    <w:next w:val="BodyText"/>
    <w:qFormat/>
    <w:rsid w:val="00FA7B1E"/>
    <w:pPr>
      <w:numPr>
        <w:numId w:val="3"/>
      </w:numPr>
      <w:tabs>
        <w:tab w:val="right" w:pos="9072"/>
      </w:tabs>
      <w:ind w:hanging="720"/>
    </w:pPr>
  </w:style>
  <w:style w:type="paragraph" w:styleId="FootnoteText">
    <w:name w:val="footnote text"/>
    <w:basedOn w:val="Normal"/>
    <w:link w:val="FootnoteTextChar"/>
    <w:uiPriority w:val="99"/>
    <w:semiHidden/>
    <w:unhideWhenUsed/>
    <w:rsid w:val="00FA7B1E"/>
  </w:style>
  <w:style w:type="character" w:customStyle="1" w:styleId="FootnoteTextChar">
    <w:name w:val="Footnote Text Char"/>
    <w:basedOn w:val="DefaultParagraphFont"/>
    <w:link w:val="FootnoteText"/>
    <w:uiPriority w:val="99"/>
    <w:semiHidden/>
    <w:rsid w:val="00FA7B1E"/>
    <w:rPr>
      <w:rFonts w:eastAsiaTheme="minorHAnsi" w:cstheme="minorBidi"/>
      <w:lang w:eastAsia="en-US"/>
    </w:rPr>
  </w:style>
  <w:style w:type="character" w:styleId="FootnoteReference">
    <w:name w:val="footnote reference"/>
    <w:basedOn w:val="DefaultParagraphFont"/>
    <w:uiPriority w:val="99"/>
    <w:semiHidden/>
    <w:unhideWhenUsed/>
    <w:rsid w:val="00FA7B1E"/>
    <w:rPr>
      <w:vertAlign w:val="superscript"/>
    </w:rPr>
  </w:style>
  <w:style w:type="paragraph" w:customStyle="1" w:styleId="SchHeading1">
    <w:name w:val="Sch Heading 1"/>
    <w:basedOn w:val="BodyText"/>
    <w:next w:val="SchHeading2"/>
    <w:qFormat/>
    <w:rsid w:val="00FA7B1E"/>
    <w:pPr>
      <w:numPr>
        <w:numId w:val="8"/>
      </w:numPr>
      <w:outlineLvl w:val="5"/>
    </w:pPr>
    <w:rPr>
      <w:rFonts w:ascii="Arial Bold" w:hAnsi="Arial Bold"/>
      <w:b/>
      <w:caps/>
    </w:rPr>
  </w:style>
  <w:style w:type="paragraph" w:customStyle="1" w:styleId="SchHeading2">
    <w:name w:val="Sch Heading 2"/>
    <w:basedOn w:val="BodyText"/>
    <w:qFormat/>
    <w:rsid w:val="00FA7B1E"/>
    <w:pPr>
      <w:numPr>
        <w:ilvl w:val="1"/>
        <w:numId w:val="8"/>
      </w:numPr>
      <w:outlineLvl w:val="6"/>
    </w:pPr>
  </w:style>
  <w:style w:type="paragraph" w:customStyle="1" w:styleId="SchHeading3">
    <w:name w:val="Sch Heading 3"/>
    <w:basedOn w:val="BodyText"/>
    <w:qFormat/>
    <w:rsid w:val="00FA7B1E"/>
    <w:pPr>
      <w:numPr>
        <w:ilvl w:val="2"/>
        <w:numId w:val="8"/>
      </w:numPr>
      <w:outlineLvl w:val="7"/>
    </w:pPr>
  </w:style>
  <w:style w:type="paragraph" w:customStyle="1" w:styleId="SchHeading4">
    <w:name w:val="Sch Heading 4"/>
    <w:basedOn w:val="BodyText"/>
    <w:qFormat/>
    <w:rsid w:val="00FA7B1E"/>
    <w:pPr>
      <w:numPr>
        <w:ilvl w:val="3"/>
        <w:numId w:val="8"/>
      </w:numPr>
      <w:outlineLvl w:val="8"/>
    </w:pPr>
  </w:style>
  <w:style w:type="paragraph" w:customStyle="1" w:styleId="ScheduleHeading">
    <w:name w:val="Schedule Heading"/>
    <w:basedOn w:val="BodyText"/>
    <w:next w:val="SchedulePara"/>
    <w:qFormat/>
    <w:rsid w:val="00FA7B1E"/>
    <w:pPr>
      <w:jc w:val="center"/>
    </w:pPr>
    <w:rPr>
      <w:rFonts w:ascii="Arial Bold" w:hAnsi="Arial Bold"/>
      <w:b/>
      <w:caps/>
    </w:rPr>
  </w:style>
  <w:style w:type="paragraph" w:customStyle="1" w:styleId="SchedulePara">
    <w:name w:val="Schedule Para"/>
    <w:basedOn w:val="BodyText"/>
    <w:next w:val="SchHeading1"/>
    <w:qFormat/>
    <w:rsid w:val="00FA7B1E"/>
    <w:pPr>
      <w:jc w:val="center"/>
    </w:pPr>
    <w:rPr>
      <w:rFonts w:ascii="Arial Bold" w:hAnsi="Arial Bold"/>
      <w:b/>
    </w:rPr>
  </w:style>
  <w:style w:type="paragraph" w:customStyle="1" w:styleId="BodyText4">
    <w:name w:val="Body Text 4"/>
    <w:basedOn w:val="BodyText"/>
    <w:qFormat/>
    <w:rsid w:val="00FA7B1E"/>
    <w:pPr>
      <w:ind w:left="3168"/>
    </w:pPr>
  </w:style>
  <w:style w:type="paragraph" w:styleId="BodyText">
    <w:name w:val="Body Text"/>
    <w:link w:val="BodyTextChar"/>
    <w:rsid w:val="00FA7B1E"/>
    <w:pPr>
      <w:widowControl w:val="0"/>
      <w:spacing w:after="240"/>
    </w:pPr>
    <w:rPr>
      <w:rFonts w:eastAsiaTheme="minorHAnsi" w:cstheme="minorBidi"/>
      <w:lang w:eastAsia="en-US"/>
    </w:rPr>
  </w:style>
  <w:style w:type="character" w:customStyle="1" w:styleId="BodyTextChar">
    <w:name w:val="Body Text Char"/>
    <w:basedOn w:val="DefaultParagraphFont"/>
    <w:link w:val="BodyText"/>
    <w:rsid w:val="00FA7B1E"/>
    <w:rPr>
      <w:rFonts w:eastAsiaTheme="minorHAnsi" w:cstheme="minorBidi"/>
      <w:lang w:eastAsia="en-US"/>
    </w:rPr>
  </w:style>
  <w:style w:type="paragraph" w:customStyle="1" w:styleId="BodyText1">
    <w:name w:val="Body Text 1"/>
    <w:basedOn w:val="BodyText"/>
    <w:qFormat/>
    <w:rsid w:val="00FA7B1E"/>
    <w:pPr>
      <w:ind w:left="720"/>
    </w:pPr>
  </w:style>
  <w:style w:type="paragraph" w:customStyle="1" w:styleId="BodyText5">
    <w:name w:val="Body Text 5"/>
    <w:basedOn w:val="BodyText"/>
    <w:qFormat/>
    <w:rsid w:val="00FA7B1E"/>
    <w:pPr>
      <w:ind w:left="4320"/>
    </w:pPr>
  </w:style>
  <w:style w:type="table" w:styleId="TableGrid">
    <w:name w:val="Table Grid"/>
    <w:basedOn w:val="TableNormal"/>
    <w:uiPriority w:val="59"/>
    <w:rsid w:val="00FA7B1E"/>
    <w:rPr>
      <w:rFonts w:eastAsia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A7B1E"/>
    <w:pPr>
      <w:ind w:left="720"/>
      <w:contextualSpacing/>
    </w:pPr>
  </w:style>
  <w:style w:type="table" w:styleId="TableGrid1">
    <w:name w:val="Table Grid 1"/>
    <w:basedOn w:val="TableNormal"/>
    <w:uiPriority w:val="99"/>
    <w:semiHidden/>
    <w:unhideWhenUsed/>
    <w:rsid w:val="00FA7B1E"/>
    <w:pPr>
      <w:jc w:val="both"/>
    </w:pPr>
    <w:rPr>
      <w:rFonts w:eastAsiaTheme="minorHAnsi" w:cstheme="minorBid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A7B1E"/>
    <w:pPr>
      <w:jc w:val="both"/>
    </w:pPr>
    <w:rPr>
      <w:rFonts w:eastAsiaTheme="minorHAnsi" w:cstheme="minorBidi"/>
      <w:szCs w:val="22"/>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A7B1E"/>
    <w:pPr>
      <w:jc w:val="both"/>
    </w:pPr>
    <w:rPr>
      <w:rFonts w:eastAsiaTheme="minorHAnsi" w:cstheme="minorBidi"/>
      <w:szCs w:val="22"/>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A7B1E"/>
    <w:pPr>
      <w:jc w:val="both"/>
    </w:pPr>
    <w:rPr>
      <w:rFonts w:eastAsiaTheme="minorHAnsi" w:cstheme="minorBidi"/>
      <w:szCs w:val="22"/>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A7B1E"/>
    <w:pPr>
      <w:jc w:val="both"/>
    </w:pPr>
    <w:rPr>
      <w:rFonts w:eastAsiaTheme="minorHAnsi" w:cstheme="minorBidi"/>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A7B1E"/>
    <w:pPr>
      <w:jc w:val="both"/>
    </w:pPr>
    <w:rPr>
      <w:rFonts w:eastAsiaTheme="minorHAnsi" w:cstheme="minorBidi"/>
      <w:szCs w:val="22"/>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A7B1E"/>
    <w:pPr>
      <w:jc w:val="both"/>
    </w:pPr>
    <w:rPr>
      <w:rFonts w:eastAsiaTheme="minorHAnsi" w:cstheme="minorBidi"/>
      <w:b/>
      <w:bCs/>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A7B1E"/>
    <w:pPr>
      <w:jc w:val="both"/>
    </w:pPr>
    <w:rPr>
      <w:rFonts w:eastAsiaTheme="minorHAnsi" w:cstheme="minorBidi"/>
      <w:szCs w:val="22"/>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A7B1E"/>
    <w:pPr>
      <w:jc w:val="both"/>
    </w:pPr>
    <w:rPr>
      <w:rFonts w:eastAsiaTheme="minorHAnsi" w:cstheme="minorBid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chHeading5">
    <w:name w:val="Sch Heading 5"/>
    <w:basedOn w:val="BodyText"/>
    <w:qFormat/>
    <w:rsid w:val="00FA7B1E"/>
    <w:pPr>
      <w:numPr>
        <w:ilvl w:val="4"/>
        <w:numId w:val="8"/>
      </w:numPr>
    </w:pPr>
  </w:style>
  <w:style w:type="paragraph" w:customStyle="1" w:styleId="SchHeading6">
    <w:name w:val="Sch Heading 6"/>
    <w:basedOn w:val="BodyText"/>
    <w:qFormat/>
    <w:rsid w:val="00FA7B1E"/>
    <w:pPr>
      <w:numPr>
        <w:ilvl w:val="5"/>
        <w:numId w:val="8"/>
      </w:numPr>
    </w:pPr>
  </w:style>
  <w:style w:type="paragraph" w:customStyle="1" w:styleId="BodyText6">
    <w:name w:val="Body Text 6"/>
    <w:basedOn w:val="BodyText"/>
    <w:qFormat/>
    <w:rsid w:val="00FA7B1E"/>
    <w:pPr>
      <w:ind w:left="5472"/>
    </w:pPr>
  </w:style>
  <w:style w:type="paragraph" w:styleId="Header">
    <w:name w:val="header"/>
    <w:basedOn w:val="Normal"/>
    <w:link w:val="HeaderChar"/>
    <w:uiPriority w:val="99"/>
    <w:unhideWhenUsed/>
    <w:rsid w:val="0098615A"/>
    <w:pPr>
      <w:tabs>
        <w:tab w:val="center" w:pos="4513"/>
        <w:tab w:val="right" w:pos="9026"/>
      </w:tabs>
    </w:pPr>
  </w:style>
  <w:style w:type="character" w:customStyle="1" w:styleId="HeaderChar">
    <w:name w:val="Header Char"/>
    <w:basedOn w:val="DefaultParagraphFont"/>
    <w:link w:val="Header"/>
    <w:uiPriority w:val="99"/>
    <w:rsid w:val="0098615A"/>
    <w:rPr>
      <w:rFonts w:eastAsiaTheme="minorHAnsi" w:cstheme="minorBidi"/>
      <w:lang w:eastAsia="en-US"/>
    </w:rPr>
  </w:style>
  <w:style w:type="paragraph" w:styleId="Footer">
    <w:name w:val="footer"/>
    <w:basedOn w:val="Normal"/>
    <w:link w:val="FooterChar"/>
    <w:uiPriority w:val="99"/>
    <w:unhideWhenUsed/>
    <w:rsid w:val="0098615A"/>
    <w:pPr>
      <w:tabs>
        <w:tab w:val="center" w:pos="4513"/>
        <w:tab w:val="right" w:pos="9026"/>
      </w:tabs>
    </w:pPr>
  </w:style>
  <w:style w:type="character" w:customStyle="1" w:styleId="FooterChar">
    <w:name w:val="Footer Char"/>
    <w:basedOn w:val="DefaultParagraphFont"/>
    <w:link w:val="Footer"/>
    <w:uiPriority w:val="99"/>
    <w:rsid w:val="0098615A"/>
    <w:rPr>
      <w:rFonts w:eastAsiaTheme="minorHAnsi" w:cstheme="minorBidi"/>
      <w:lang w:eastAsia="en-US"/>
    </w:rPr>
  </w:style>
  <w:style w:type="table" w:styleId="LightShading-Accent4">
    <w:name w:val="Light Shading Accent 4"/>
    <w:basedOn w:val="TableNormal"/>
    <w:uiPriority w:val="60"/>
    <w:rsid w:val="0098615A"/>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297\AppData\Roaming\Tikit\TMS\irwin%20mitchell\templates\Word\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C65632-E580-4AF3-B278-7AEFB6F7EAA6}"/>
</file>

<file path=customXml/itemProps2.xml><?xml version="1.0" encoding="utf-8"?>
<ds:datastoreItem xmlns:ds="http://schemas.openxmlformats.org/officeDocument/2006/customXml" ds:itemID="{B94F6009-FB5C-43DA-88DC-34B112887DBA}"/>
</file>

<file path=customXml/itemProps3.xml><?xml version="1.0" encoding="utf-8"?>
<ds:datastoreItem xmlns:ds="http://schemas.openxmlformats.org/officeDocument/2006/customXml" ds:itemID="{288EA116-E71A-45B6-93EC-9831D07251D9}"/>
</file>

<file path=customXml/itemProps4.xml><?xml version="1.0" encoding="utf-8"?>
<ds:datastoreItem xmlns:ds="http://schemas.openxmlformats.org/officeDocument/2006/customXml" ds:itemID="{67EAC0CE-4F1C-4516-8052-EE5FA8D22F0D}"/>
</file>

<file path=docProps/app.xml><?xml version="1.0" encoding="utf-8"?>
<Properties xmlns="http://schemas.openxmlformats.org/officeDocument/2006/extended-properties" xmlns:vt="http://schemas.openxmlformats.org/officeDocument/2006/docPropsVTypes">
  <Template>Blank</Template>
  <TotalTime>3</TotalTime>
  <Pages>4</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Irwin Mitchell</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Moseley</dc:creator>
  <dc:description>BL-v0.1</dc:description>
  <cp:lastModifiedBy>Joanne Moseley</cp:lastModifiedBy>
  <cp:revision>3</cp:revision>
  <dcterms:created xsi:type="dcterms:W3CDTF">2014-03-25T15:09:00Z</dcterms:created>
  <dcterms:modified xsi:type="dcterms:W3CDTF">2014-03-25T15:11:00Z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Initials">
    <vt:lpwstr>JMOS</vt:lpwstr>
  </property>
  <property fmtid="{D5CDD505-2E9C-101B-9397-08002B2CF9AE}" pid="3" name="AuthorInitials">
    <vt:lpwstr> </vt:lpwstr>
  </property>
  <property fmtid="{D5CDD505-2E9C-101B-9397-08002B2CF9AE}" pid="4" name="ClientMatter">
    <vt:lpwstr>BLS-EMP</vt:lpwstr>
  </property>
  <property fmtid="{D5CDD505-2E9C-101B-9397-08002B2CF9AE}" pid="5" name="DocumentReference">
    <vt:lpwstr>5373829 </vt:lpwstr>
  </property>
  <property fmtid="{D5CDD505-2E9C-101B-9397-08002B2CF9AE}" pid="6" name="DocumentReferenceVersion">
    <vt:lpwstr>5373829-1</vt:lpwstr>
  </property>
  <property fmtid="{D5CDD505-2E9C-101B-9397-08002B2CF9AE}" pid="7" name="OurReference">
    <vt:lpwstr>JMOS/BLS-EMP/5373829-1</vt:lpwstr>
  </property>
  <property fmtid="{D5CDD505-2E9C-101B-9397-08002B2CF9AE}" pid="8" name="ClientName">
    <vt:lpwstr>Business Legal Services</vt:lpwstr>
  </property>
  <property fmtid="{D5CDD505-2E9C-101B-9397-08002B2CF9AE}" pid="9" name="MatterName">
    <vt:lpwstr>Employment</vt:lpwstr>
  </property>
</Properties>
</file>